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72"/>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72"/>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72"/>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全自动流动注射仪</w:t>
      </w:r>
      <w:r>
        <w:rPr>
          <w:rFonts w:hint="eastAsia" w:ascii="宋体" w:hAnsi="宋体"/>
          <w:bCs/>
          <w:color w:val="000000"/>
          <w:sz w:val="36"/>
          <w:szCs w:val="36"/>
          <w:highlight w:val="none"/>
        </w:rPr>
        <w:t xml:space="preserve">采购项目</w:t>
      </w:r>
      <w:r>
        <w:rPr>
          <w:rFonts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bCs/>
          <w:color w:val="000000"/>
          <w:sz w:val="36"/>
          <w:szCs w:val="36"/>
          <w:highlight w:val="none"/>
        </w:rPr>
      </w:pPr>
      <w:r>
        <w:rPr>
          <w:rFonts w:ascii="宋体" w:hAnsi="宋体"/>
          <w:bCs/>
          <w:color w:val="000000"/>
          <w:sz w:val="36"/>
          <w:szCs w:val="36"/>
          <w:highlight w:val="none"/>
        </w:rPr>
        <w:t xml:space="preserve">项目编号：</w:t>
      </w:r>
      <w:r>
        <w:rPr>
          <w:rFonts w:ascii="宋体" w:hAnsi="宋体"/>
          <w:bCs/>
          <w:color w:val="000000"/>
          <w:sz w:val="36"/>
          <w:szCs w:val="36"/>
          <w:highlight w:val="none"/>
        </w:rPr>
        <w:tab/>
      </w:r>
      <w:r>
        <w:rPr>
          <w:rFonts w:hint="eastAsia" w:ascii="宋体" w:hAnsi="宋体"/>
          <w:bCs/>
          <w:color w:val="000000"/>
          <w:sz w:val="36"/>
          <w:szCs w:val="36"/>
          <w:highlight w:val="none"/>
        </w:rPr>
        <w:t xml:space="preserve">JSZC-320412-CTZB-G2025-0260</w:t>
      </w:r>
      <w:r>
        <w:rPr>
          <w:rFonts w:hint="eastAsia" w:ascii="宋体" w:hAnsi="宋体"/>
          <w:bCs/>
          <w:color w:val="000000"/>
          <w:sz w:val="36"/>
          <w:szCs w:val="36"/>
          <w:highlight w:val="none"/>
        </w:rPr>
      </w:r>
      <w:r/>
    </w:p>
    <w:p>
      <w:pPr>
        <w:pStyle w:val="1072"/>
        <w:ind w:left="2832" w:hanging="190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采 购 人：</w:t>
      </w:r>
      <w:r>
        <w:rPr>
          <w:rFonts w:hint="eastAsia"/>
          <w:bCs/>
          <w:color w:val="000000"/>
          <w:sz w:val="36"/>
          <w:szCs w:val="36"/>
          <w:highlight w:val="none"/>
          <w:lang w:eastAsia="zh-CN"/>
        </w:rPr>
        <w:t xml:space="preserve">常州市武进区疾病预防控制中心</w:t>
      </w:r>
      <w:r>
        <w:rPr>
          <w:rFonts w:hint="eastAsia" w:ascii="宋体" w:hAnsi="宋体" w:eastAsia="宋体"/>
          <w:bCs/>
          <w:color w:val="000000"/>
          <w:sz w:val="36"/>
          <w:szCs w:val="36"/>
          <w:highlight w:val="none"/>
          <w:lang w:eastAsia="zh-CN"/>
        </w:rPr>
      </w:r>
      <w:r/>
    </w:p>
    <w:p>
      <w:pPr>
        <w:pStyle w:val="1072"/>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72"/>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72"/>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072"/>
        <w:rPr>
          <w:rFonts w:ascii="宋体" w:hAnsi="宋体"/>
          <w:color w:val="000000"/>
          <w:highlight w:val="none"/>
        </w:rPr>
      </w:pPr>
      <w:r>
        <w:rPr>
          <w:rFonts w:ascii="宋体" w:hAnsi="宋体"/>
          <w:color w:val="000000"/>
          <w:highlight w:val="none"/>
        </w:rPr>
      </w:r>
      <w:r/>
    </w:p>
    <w:p>
      <w:pPr>
        <w:pStyle w:val="1124"/>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48"/>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48"/>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48"/>
          <w:color w:val="000000"/>
          <w:sz w:val="32"/>
          <w:szCs w:val="32"/>
          <w:highlight w:val="none"/>
        </w:rPr>
        <w:t xml:space="preserve">第三章   资</w:t>
      </w:r>
      <w:bookmarkStart w:id="1" w:name="_Hlt100754117"/>
      <w:r>
        <w:rPr>
          <w:rStyle w:val="1148"/>
          <w:color w:val="000000"/>
          <w:sz w:val="32"/>
          <w:szCs w:val="32"/>
          <w:highlight w:val="none"/>
        </w:rPr>
        <w:t xml:space="preserve">格</w:t>
      </w:r>
      <w:bookmarkEnd w:id="1"/>
      <w:r>
        <w:rPr>
          <w:rStyle w:val="1148"/>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20</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48"/>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48"/>
          <w:color w:val="000000"/>
          <w:sz w:val="32"/>
          <w:szCs w:val="32"/>
          <w:highlight w:val="none"/>
        </w:rPr>
        <w:t xml:space="preserve">第五章   采购</w:t>
      </w:r>
      <w:bookmarkStart w:id="2" w:name="_Hlt100754103"/>
      <w:r/>
      <w:bookmarkStart w:id="3" w:name="_Hlt100754102"/>
      <w:r>
        <w:rPr>
          <w:rStyle w:val="1148"/>
          <w:color w:val="000000"/>
          <w:sz w:val="32"/>
          <w:szCs w:val="32"/>
          <w:highlight w:val="none"/>
        </w:rPr>
        <w:t xml:space="preserve">需</w:t>
      </w:r>
      <w:bookmarkEnd w:id="2"/>
      <w:r/>
      <w:bookmarkEnd w:id="3"/>
      <w:r>
        <w:rPr>
          <w:rStyle w:val="1148"/>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48"/>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36</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24"/>
        <w:spacing w:line="720" w:lineRule="auto"/>
        <w:tabs>
          <w:tab w:val="left" w:pos="1050" w:leader="none"/>
          <w:tab w:val="right" w:pos="8937" w:leader="dot"/>
        </w:tabs>
        <w:rPr>
          <w:rFonts w:hint="eastAsia"/>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48"/>
          <w:color w:val="000000"/>
          <w:sz w:val="32"/>
          <w:szCs w:val="32"/>
          <w:highlight w:val="none"/>
        </w:rPr>
        <w:t xml:space="preserve">第七章   投标文件格式</w:t>
      </w:r>
      <w:r>
        <w:rPr>
          <w:color w:val="000000"/>
          <w:sz w:val="32"/>
          <w:szCs w:val="32"/>
          <w:highlight w:val="none"/>
        </w:rPr>
        <w:tab/>
      </w:r>
      <w:r>
        <w:rPr>
          <w:rFonts w:hint="eastAsia"/>
          <w:color w:val="000000"/>
          <w:sz w:val="32"/>
          <w:szCs w:val="32"/>
          <w:highlight w:val="none"/>
        </w:rPr>
        <w:t xml:space="preserve">4</w:t>
      </w:r>
      <w:r>
        <w:rPr>
          <w:color w:val="000000"/>
          <w:sz w:val="32"/>
          <w:szCs w:val="32"/>
          <w:highlight w:val="none"/>
        </w:rPr>
        <w:fldChar w:fldCharType="end"/>
      </w:r>
      <w:r>
        <w:rPr>
          <w:rFonts w:hint="eastAsia"/>
          <w:color w:val="000000"/>
          <w:sz w:val="32"/>
          <w:szCs w:val="32"/>
          <w:highlight w:val="none"/>
        </w:rPr>
        <w:t xml:space="preserve">2</w:t>
      </w:r>
      <w:r>
        <w:rPr>
          <w:rFonts w:hint="eastAsia"/>
          <w:b w:val="0"/>
          <w:color w:val="000000"/>
          <w:sz w:val="32"/>
          <w:szCs w:val="32"/>
          <w:highlight w:val="none"/>
        </w:rPr>
      </w:r>
      <w:r/>
    </w:p>
    <w:p>
      <w:pPr>
        <w:pStyle w:val="1124"/>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sz w:val="32"/>
          <w:szCs w:val="32"/>
          <w:highlight w:val="none"/>
          <w:lang w:eastAsia="zh-CN"/>
        </w:rPr>
        <w:t xml:space="preserve">常州市武进区疾病预防控制中心全自动流动注射仪</w:t>
      </w:r>
      <w:r>
        <w:rPr>
          <w:rFonts w:hint="eastAsia" w:ascii="仿宋" w:hAnsi="仿宋" w:eastAsia="仿宋" w:cs="宋体"/>
          <w:color w:val="000000"/>
          <w:sz w:val="32"/>
          <w:szCs w:val="32"/>
          <w:highlight w:val="none"/>
        </w:rPr>
        <w:t xml:space="preserve">采购项目</w:t>
      </w:r>
      <w:r>
        <w:rPr>
          <w:rFonts w:hint="eastAsia" w:ascii="仿宋" w:hAnsi="仿宋" w:eastAsia="仿宋"/>
          <w:color w:val="000000"/>
          <w:sz w:val="32"/>
          <w:szCs w:val="32"/>
          <w:highlight w:val="none"/>
        </w:rPr>
        <w:t xml:space="preserve">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rPr>
        <w:t xml:space="preserve">2025年</w:t>
      </w:r>
      <w:r>
        <w:rPr>
          <w:rFonts w:hint="eastAsia" w:ascii="仿宋" w:hAnsi="仿宋" w:eastAsia="仿宋"/>
          <w:b/>
          <w:bCs/>
          <w:color w:val="000000"/>
          <w:sz w:val="32"/>
          <w:szCs w:val="32"/>
          <w:highlight w:val="none"/>
          <w:lang w:val="en-US" w:eastAsia="zh-CN"/>
        </w:rPr>
        <w:t xml:space="preserve">11</w:t>
      </w:r>
      <w:r>
        <w:rPr>
          <w:rFonts w:hint="eastAsia" w:ascii="仿宋" w:hAnsi="仿宋" w:eastAsia="仿宋"/>
          <w:b/>
          <w:bCs/>
          <w:color w:val="000000"/>
          <w:sz w:val="32"/>
          <w:szCs w:val="32"/>
          <w:highlight w:val="none"/>
        </w:rPr>
        <w:t xml:space="preserve">月</w:t>
      </w:r>
      <w:r>
        <w:rPr>
          <w:rFonts w:hint="eastAsia" w:ascii="仿宋" w:hAnsi="仿宋" w:eastAsia="仿宋"/>
          <w:b/>
          <w:bCs/>
          <w:color w:val="000000"/>
          <w:sz w:val="32"/>
          <w:szCs w:val="32"/>
          <w:highlight w:val="none"/>
          <w:lang w:val="en-US" w:eastAsia="zh-CN"/>
        </w:rPr>
        <w:t xml:space="preserve">26</w:t>
      </w:r>
      <w:r>
        <w:rPr>
          <w:rFonts w:hint="eastAsia" w:ascii="仿宋" w:hAnsi="仿宋" w:eastAsia="仿宋"/>
          <w:b/>
          <w:bCs/>
          <w:color w:val="000000"/>
          <w:sz w:val="32"/>
          <w:szCs w:val="32"/>
          <w:highlight w:val="none"/>
        </w:rPr>
        <w:t xml:space="preserve">日14点00分</w:t>
      </w:r>
      <w:r>
        <w:rPr>
          <w:rFonts w:hint="eastAsia" w:ascii="仿宋" w:hAnsi="仿宋" w:eastAsia="仿宋" w:cs="宋体"/>
          <w:b/>
          <w:bCs/>
          <w:color w:val="000000"/>
          <w:sz w:val="32"/>
          <w:szCs w:val="32"/>
          <w:highlight w:val="none"/>
        </w:rPr>
        <w:t xml:space="preserve">（北京时间）</w:t>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4"/>
        <w:ind w:firstLine="643"/>
        <w:jc w:val="left"/>
        <w:spacing w:before="240" w:line="360" w:lineRule="auto"/>
        <w:rPr>
          <w:rFonts w:ascii="仿宋" w:hAnsi="仿宋" w:eastAsia="仿宋"/>
          <w:color w:val="000000"/>
          <w:sz w:val="32"/>
          <w:szCs w:val="32"/>
          <w:highlight w:val="none"/>
        </w:rPr>
      </w:pPr>
      <w:r/>
      <w:bookmarkStart w:id="5" w:name="_Toc35393790"/>
      <w:r/>
      <w:bookmarkStart w:id="6" w:name="_Toc35393621"/>
      <w:r/>
      <w:bookmarkStart w:id="7" w:name="_Toc28359002"/>
      <w:r/>
      <w:bookmarkStart w:id="8" w:name="_Toc28359079"/>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JSZC-320412-CTZB-G2025-0260</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lang w:eastAsia="zh-CN"/>
        </w:rPr>
        <w:t xml:space="preserve">常州市武进区疾病预防控制中心全自动流动注射仪</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rPr>
        <w:t xml:space="preserve">人民币</w:t>
      </w:r>
      <w:r>
        <w:rPr>
          <w:rFonts w:hint="eastAsia" w:ascii="仿宋" w:hAnsi="仿宋" w:eastAsia="仿宋"/>
          <w:color w:val="000000"/>
          <w:sz w:val="32"/>
          <w:szCs w:val="32"/>
          <w:highlight w:val="none"/>
          <w:lang w:val="en-US" w:eastAsia="zh-CN"/>
        </w:rPr>
        <w:t xml:space="preserve">72</w:t>
      </w:r>
      <w:r>
        <w:rPr>
          <w:rFonts w:hint="eastAsia" w:ascii="仿宋" w:hAnsi="仿宋" w:eastAsia="仿宋"/>
          <w:color w:val="000000"/>
          <w:sz w:val="32"/>
          <w:szCs w:val="32"/>
          <w:highlight w:val="none"/>
        </w:rPr>
        <w:t xml:space="preserve">万元。</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rPr>
        <w:t xml:space="preserve">人民币</w:t>
      </w:r>
      <w:r>
        <w:rPr>
          <w:rFonts w:hint="eastAsia" w:ascii="仿宋" w:hAnsi="仿宋" w:eastAsia="仿宋"/>
          <w:color w:val="000000"/>
          <w:sz w:val="32"/>
          <w:szCs w:val="32"/>
          <w:highlight w:val="none"/>
          <w:lang w:val="en-US" w:eastAsia="zh-CN"/>
        </w:rPr>
        <w:t xml:space="preserve">72</w:t>
      </w:r>
      <w:r>
        <w:rPr>
          <w:rFonts w:hint="eastAsia" w:ascii="仿宋" w:hAnsi="仿宋" w:eastAsia="仿宋"/>
          <w:color w:val="000000"/>
          <w:sz w:val="32"/>
          <w:szCs w:val="32"/>
          <w:highlight w:val="none"/>
        </w:rPr>
        <w:t xml:space="preserve">万元。</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556"/>
        <w:gridCol w:w="1700"/>
        <w:gridCol w:w="996"/>
        <w:gridCol w:w="4278"/>
      </w:tblGrid>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920"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39"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315" w:type="dxa"/>
            <w:vAlign w:val="center"/>
            <w:textDirection w:val="lrTb"/>
            <w:noWrap w:val="false"/>
          </w:tcPr>
          <w:p>
            <w:pPr>
              <w:pStyle w:val="1072"/>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72"/>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rPr>
            </w:r>
            <w:r/>
          </w:p>
        </w:tc>
        <w:tc>
          <w:tcPr>
            <w:tcW w:w="842"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color w:val="000000"/>
                <w:sz w:val="32"/>
                <w:szCs w:val="32"/>
                <w:highlight w:val="none"/>
                <w:lang w:eastAsia="zh-CN"/>
              </w:rPr>
              <w:t xml:space="preserve">全自动流动注射仪</w:t>
            </w:r>
            <w:r>
              <w:rPr>
                <w:rFonts w:hint="eastAsia" w:ascii="仿宋" w:hAnsi="仿宋" w:eastAsia="仿宋"/>
                <w:bCs/>
                <w:color w:val="000000"/>
                <w:sz w:val="32"/>
                <w:szCs w:val="32"/>
                <w:highlight w:val="none"/>
                <w:lang w:eastAsia="zh-CN"/>
              </w:rPr>
            </w:r>
            <w:r/>
          </w:p>
        </w:tc>
        <w:tc>
          <w:tcPr>
            <w:tcW w:w="920" w:type="dxa"/>
            <w:vAlign w:val="center"/>
            <w:textDirection w:val="lrTb"/>
            <w:noWrap w:val="false"/>
          </w:tcPr>
          <w:p>
            <w:pPr>
              <w:pStyle w:val="1072"/>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72</w:t>
            </w:r>
            <w:r>
              <w:rPr>
                <w:rFonts w:ascii="仿宋" w:hAnsi="仿宋" w:eastAsia="仿宋"/>
                <w:bCs/>
                <w:color w:val="000000"/>
                <w:sz w:val="32"/>
                <w:szCs w:val="32"/>
                <w:highlight w:val="none"/>
                <w:lang w:val="en-US" w:eastAsia="zh-CN"/>
              </w:rPr>
            </w:r>
            <w:r/>
          </w:p>
        </w:tc>
        <w:tc>
          <w:tcPr>
            <w:tcW w:w="539" w:type="dxa"/>
            <w:vAlign w:val="center"/>
            <w:textDirection w:val="lrTb"/>
            <w:noWrap w:val="false"/>
          </w:tcPr>
          <w:p>
            <w:pPr>
              <w:pStyle w:val="1072"/>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rPr>
              <w:t xml:space="preserve">1</w:t>
            </w:r>
            <w:r>
              <w:rPr>
                <w:rFonts w:hint="eastAsia" w:ascii="仿宋" w:hAnsi="仿宋" w:eastAsia="仿宋"/>
                <w:bCs/>
                <w:color w:val="000000"/>
                <w:sz w:val="32"/>
                <w:szCs w:val="32"/>
                <w:highlight w:val="none"/>
                <w:lang w:val="en-US" w:eastAsia="zh-CN"/>
              </w:rPr>
              <w:t xml:space="preserve">套</w:t>
            </w:r>
            <w:r>
              <w:rPr>
                <w:rFonts w:hint="eastAsia" w:ascii="仿宋" w:hAnsi="仿宋" w:eastAsia="仿宋"/>
                <w:bCs/>
                <w:color w:val="000000"/>
                <w:sz w:val="32"/>
                <w:szCs w:val="32"/>
                <w:highlight w:val="none"/>
                <w:lang w:eastAsia="zh-CN"/>
              </w:rPr>
            </w:r>
            <w:r/>
          </w:p>
        </w:tc>
        <w:tc>
          <w:tcPr>
            <w:tcW w:w="2315" w:type="dxa"/>
            <w:vAlign w:val="center"/>
            <w:textDirection w:val="lrTb"/>
            <w:noWrap w:val="false"/>
          </w:tcPr>
          <w:p>
            <w:pPr>
              <w:pStyle w:val="1072"/>
              <w:jc w:val="left"/>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bl>
    <w:p>
      <w:pPr>
        <w:pStyle w:val="1072"/>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合同履行期限：合同签订后</w:t>
      </w:r>
      <w:r>
        <w:rPr>
          <w:rFonts w:hint="eastAsia" w:ascii="仿宋" w:hAnsi="仿宋" w:eastAsia="仿宋"/>
          <w:color w:val="000000"/>
          <w:sz w:val="32"/>
          <w:szCs w:val="32"/>
          <w:highlight w:val="none"/>
          <w:lang w:val="en-US" w:eastAsia="zh-CN"/>
        </w:rPr>
        <w:t xml:space="preserve">60</w:t>
      </w:r>
      <w:r>
        <w:rPr>
          <w:rFonts w:hint="eastAsia" w:ascii="仿宋" w:hAnsi="仿宋" w:eastAsia="仿宋"/>
          <w:color w:val="000000"/>
          <w:sz w:val="32"/>
          <w:szCs w:val="32"/>
          <w:highlight w:val="none"/>
        </w:rPr>
        <w:t xml:space="preserve">天</w:t>
      </w:r>
      <w:r>
        <w:rPr>
          <w:rFonts w:hint="eastAsia" w:ascii="仿宋" w:hAnsi="仿宋" w:eastAsia="仿宋"/>
          <w:color w:val="000000"/>
          <w:sz w:val="32"/>
          <w:szCs w:val="32"/>
          <w:highlight w:val="none"/>
        </w:rPr>
        <w:t xml:space="preserve">内完成合同范围内所有设备的供货、安装调试。 </w:t>
      </w:r>
      <w:r>
        <w:rPr>
          <w:rFonts w:ascii="仿宋" w:hAnsi="仿宋" w:eastAsia="仿宋"/>
          <w:color w:val="000000"/>
          <w:sz w:val="32"/>
          <w:szCs w:val="32"/>
          <w:highlight w:val="none"/>
          <w:u w:val="singl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10" w:name="_Toc28359003"/>
      <w:r/>
      <w:bookmarkStart w:id="11" w:name="_Toc35393791"/>
      <w:r/>
      <w:bookmarkStart w:id="12" w:name="_Toc35393622"/>
      <w:r/>
      <w:bookmarkStart w:id="13" w:name="_Toc28359080"/>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72"/>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72"/>
        <w:ind w:firstLine="640"/>
        <w:spacing w:line="360" w:lineRule="auto"/>
        <w:rPr>
          <w:rFonts w:hint="eastAsia"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color w:val="000000"/>
          <w:sz w:val="32"/>
          <w:szCs w:val="32"/>
          <w:highlight w:val="none"/>
        </w:rPr>
        <w:t xml:space="preserve">/。</w:t>
      </w:r>
      <w:r>
        <w:rPr>
          <w:rFonts w:hint="eastAsia"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72"/>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72"/>
        <w:ind w:firstLine="643"/>
        <w:spacing w:line="600" w:lineRule="exact"/>
        <w:rPr>
          <w:rFonts w:ascii="仿宋" w:hAnsi="仿宋" w:eastAsia="仿宋"/>
          <w:b/>
          <w:bCs/>
          <w:color w:val="000000"/>
          <w:sz w:val="32"/>
          <w:szCs w:val="32"/>
          <w:highlight w:val="none"/>
        </w:rPr>
      </w:pPr>
      <w:r>
        <w:rPr>
          <w:rFonts w:ascii="仿宋" w:hAnsi="仿宋" w:eastAsia="仿宋"/>
          <w:b/>
          <w:bCs/>
          <w:color w:val="000000"/>
          <w:sz w:val="32"/>
          <w:szCs w:val="32"/>
          <w:highlight w:val="none"/>
        </w:rPr>
        <w:t xml:space="preserve">3.3其他特定资格要求：</w:t>
      </w:r>
      <w:r>
        <w:rPr>
          <w:rFonts w:ascii="仿宋" w:hAnsi="仿宋" w:eastAsia="仿宋"/>
          <w:b/>
          <w:bCs/>
          <w:color w:val="000000"/>
          <w:sz w:val="32"/>
          <w:szCs w:val="32"/>
          <w:highlight w:val="none"/>
        </w:rPr>
      </w:r>
      <w:r/>
    </w:p>
    <w:p>
      <w:pPr>
        <w:pStyle w:val="1072"/>
        <w:ind w:firstLine="643"/>
        <w:spacing w:line="600" w:lineRule="exact"/>
        <w:rPr>
          <w:rFonts w:hint="eastAsia" w:ascii="仿宋" w:hAnsi="仿宋" w:eastAsia="仿宋" w:cs="Times New Roman"/>
          <w:b/>
          <w:bCs/>
          <w:color w:val="000000"/>
          <w:sz w:val="32"/>
          <w:szCs w:val="32"/>
          <w:highlight w:val="none"/>
        </w:rPr>
      </w:pPr>
      <w:r/>
      <w:bookmarkEnd w:id="14"/>
      <w:r/>
      <w:bookmarkEnd w:id="15"/>
      <w:r/>
      <w:bookmarkStart w:id="16" w:name="_Toc35393792"/>
      <w:r/>
      <w:bookmarkStart w:id="17" w:name="_Toc35393623"/>
      <w:r>
        <w:rPr>
          <w:rFonts w:hint="eastAsia" w:ascii="仿宋" w:hAnsi="仿宋" w:eastAsia="仿宋" w:cs="Times New Roman"/>
          <w:b/>
          <w:bCs/>
          <w:color w:val="000000"/>
          <w:sz w:val="32"/>
          <w:szCs w:val="32"/>
          <w:highlight w:val="none"/>
        </w:rPr>
        <w:t xml:space="preserve">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cs="Times New Roman"/>
          <w:b/>
          <w:bCs/>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bidi="ar"/>
        </w:rPr>
        <w:t xml:space="preserve">2025年</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至2025年</w:t>
      </w:r>
      <w:r>
        <w:rPr>
          <w:rFonts w:hint="eastAsia" w:ascii="仿宋" w:hAnsi="仿宋" w:eastAsia="仿宋"/>
          <w:color w:val="000000"/>
          <w:sz w:val="32"/>
          <w:szCs w:val="32"/>
          <w:highlight w:val="none"/>
          <w:lang w:val="en-US" w:eastAsia="zh-CN" w:bidi="ar"/>
        </w:rPr>
        <w:t xml:space="preserve">10</w:t>
      </w:r>
      <w:r>
        <w:rPr>
          <w:rFonts w:hint="eastAsia" w:ascii="仿宋" w:hAnsi="仿宋" w:eastAsia="仿宋"/>
          <w:color w:val="000000"/>
          <w:sz w:val="32"/>
          <w:szCs w:val="32"/>
          <w:highlight w:val="none"/>
          <w:lang w:bidi="ar"/>
        </w:rPr>
        <w:t xml:space="preserve">月</w:t>
      </w:r>
      <w:r>
        <w:rPr>
          <w:rFonts w:hint="eastAsia" w:ascii="仿宋" w:hAnsi="仿宋" w:eastAsia="仿宋"/>
          <w:color w:val="000000"/>
          <w:sz w:val="32"/>
          <w:szCs w:val="32"/>
          <w:highlight w:val="none"/>
          <w:lang w:val="en-US" w:eastAsia="zh-CN" w:bidi="ar"/>
        </w:rPr>
        <w:t xml:space="preserve">29</w:t>
      </w:r>
      <w:r>
        <w:rPr>
          <w:rFonts w:hint="eastAsia" w:ascii="仿宋" w:hAnsi="仿宋" w:eastAsia="仿宋" w:cs="宋体"/>
          <w:color w:val="000000"/>
          <w:sz w:val="32"/>
          <w:szCs w:val="32"/>
          <w:highlight w:val="none"/>
        </w:rPr>
        <w:t xml:space="preserve">日（北京时间）</w:t>
      </w:r>
      <w:r>
        <w:rPr>
          <w:rFonts w:hint="eastAsia" w:ascii="仿宋" w:hAnsi="仿宋" w:eastAsia="仿宋"/>
          <w:color w:val="000000"/>
          <w:sz w:val="32"/>
          <w:szCs w:val="32"/>
          <w:highlight w:val="none"/>
          <w:lang w:bidi="ar"/>
        </w:rPr>
        <w:t xml:space="preserve">。</w:t>
      </w:r>
      <w:r>
        <w:rPr>
          <w:rFonts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rPr>
      </w:r>
      <w:r/>
    </w:p>
    <w:p>
      <w:pPr>
        <w:pStyle w:val="1072"/>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ascii="仿宋" w:hAnsi="仿宋" w:eastAsia="仿宋"/>
          <w:color w:val="000000"/>
          <w:sz w:val="32"/>
          <w:szCs w:val="32"/>
          <w:highlight w:val="none"/>
          <w:lang w:bidi="ar"/>
        </w:rPr>
      </w:r>
      <w:r/>
    </w:p>
    <w:p>
      <w:pPr>
        <w:pStyle w:val="1072"/>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74"/>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624"/>
      <w:r/>
      <w:bookmarkStart w:id="21" w:name="_Toc35393793"/>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72"/>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bidi="ar"/>
        </w:rPr>
        <w:t xml:space="preserve">2025年</w:t>
      </w:r>
      <w:r>
        <w:rPr>
          <w:rFonts w:hint="eastAsia" w:ascii="仿宋" w:hAnsi="仿宋" w:eastAsia="仿宋"/>
          <w:b/>
          <w:bCs/>
          <w:color w:val="000000"/>
          <w:sz w:val="32"/>
          <w:szCs w:val="32"/>
          <w:highlight w:val="none"/>
          <w:lang w:val="en-US" w:eastAsia="zh-CN" w:bidi="ar"/>
        </w:rPr>
        <w:t xml:space="preserve">11</w:t>
      </w:r>
      <w:r>
        <w:rPr>
          <w:rFonts w:hint="eastAsia" w:ascii="仿宋" w:hAnsi="仿宋" w:eastAsia="仿宋"/>
          <w:b/>
          <w:bCs/>
          <w:color w:val="000000"/>
          <w:sz w:val="32"/>
          <w:szCs w:val="32"/>
          <w:highlight w:val="none"/>
          <w:lang w:bidi="ar"/>
        </w:rPr>
        <w:t xml:space="preserve">月</w:t>
      </w:r>
      <w:r>
        <w:rPr>
          <w:rFonts w:hint="eastAsia" w:ascii="仿宋" w:hAnsi="仿宋" w:eastAsia="仿宋"/>
          <w:b/>
          <w:bCs/>
          <w:color w:val="000000"/>
          <w:sz w:val="32"/>
          <w:szCs w:val="32"/>
          <w:highlight w:val="none"/>
          <w:lang w:val="en-US" w:eastAsia="zh-CN" w:bidi="ar"/>
        </w:rPr>
        <w:t xml:space="preserve">26</w:t>
      </w:r>
      <w:r>
        <w:rPr>
          <w:rFonts w:hint="eastAsia" w:ascii="仿宋" w:hAnsi="仿宋" w:eastAsia="仿宋"/>
          <w:b/>
          <w:bCs/>
          <w:color w:val="000000"/>
          <w:sz w:val="32"/>
          <w:szCs w:val="32"/>
          <w:highlight w:val="none"/>
          <w:lang w:bidi="ar"/>
        </w:rPr>
        <w:t xml:space="preserve">日14点00分</w:t>
      </w:r>
      <w:r>
        <w:rPr>
          <w:rFonts w:ascii="仿宋" w:hAnsi="仿宋" w:eastAsia="仿宋"/>
          <w:bCs/>
          <w:color w:val="000000"/>
          <w:sz w:val="32"/>
          <w:szCs w:val="32"/>
          <w:highlight w:val="none"/>
          <w:lang w:bidi="ar"/>
        </w:rPr>
        <w:t xml:space="preserve">（北京时间）</w:t>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72"/>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35393625"/>
      <w:r/>
      <w:bookmarkStart w:id="25" w:name="_Toc28359084"/>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74"/>
        <w:ind w:firstLine="643"/>
        <w:jc w:val="left"/>
        <w:spacing w:before="0" w:line="360" w:lineRule="auto"/>
        <w:rPr>
          <w:rFonts w:ascii="仿宋" w:hAnsi="仿宋" w:eastAsia="仿宋"/>
          <w:color w:val="000000"/>
          <w:sz w:val="32"/>
          <w:szCs w:val="32"/>
          <w:highlight w:val="none"/>
        </w:rPr>
      </w:pPr>
      <w:r/>
      <w:bookmarkStart w:id="26" w:name="_Toc35393795"/>
      <w:r/>
      <w:bookmarkStart w:id="27" w:name="_Toc35393626"/>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72"/>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72"/>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2.根据省财政厅《关于更</w:t>
      </w:r>
      <w:r>
        <w:rPr>
          <w:rFonts w:hint="eastAsia" w:ascii="仿宋" w:hAnsi="仿宋" w:eastAsia="仿宋"/>
          <w:color w:val="000000"/>
          <w:sz w:val="32"/>
          <w:szCs w:val="32"/>
          <w:highlight w:val="none"/>
          <w:lang w:bidi="ar"/>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72"/>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72"/>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74"/>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627"/>
      <w:r/>
      <w:bookmarkStart w:id="30" w:name="_Toc28359085"/>
      <w:r/>
      <w:bookmarkStart w:id="31" w:name="_Toc35393796"/>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1.采购人信息</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名</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 称：常州市武进区疾病预防控制中心</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地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址：常州市武进区湖塘镇府南路2号</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联系方式：冯女士 0519-89856918</w:t>
      </w:r>
      <w:r>
        <w:rPr>
          <w:rFonts w:hint="eastAsia" w:ascii="仿宋" w:hAnsi="仿宋" w:eastAsia="仿宋" w:cs="Times New Roman"/>
          <w:color w:val="000000"/>
          <w:sz w:val="32"/>
          <w:szCs w:val="32"/>
          <w:highlight w:val="none"/>
          <w:lang w:bidi="ar"/>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2.采购代理机构信息</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名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称：常州市城投建设工程招标有限公司</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地  址：常州市新北区通江中路396号中创大厦4楼</w:t>
      </w:r>
      <w:r>
        <w:rPr>
          <w:rFonts w:hint="eastAsia" w:ascii="仿宋" w:hAnsi="仿宋" w:eastAsia="仿宋" w:cs="Times New Roman"/>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联系方式：0519-81580101</w:t>
      </w:r>
      <w:r>
        <w:rPr>
          <w:rFonts w:hint="eastAsia" w:ascii="仿宋" w:hAnsi="仿宋" w:eastAsia="仿宋" w:cs="Times New Roman"/>
          <w:color w:val="000000"/>
          <w:sz w:val="32"/>
          <w:szCs w:val="32"/>
          <w:highlight w:val="none"/>
          <w:lang w:bidi="ar"/>
        </w:rPr>
      </w:r>
      <w:r/>
    </w:p>
    <w:p>
      <w:pPr>
        <w:pStyle w:val="1072"/>
        <w:ind w:firstLine="643"/>
        <w:spacing w:line="360" w:lineRule="auto"/>
        <w:rPr>
          <w:rFonts w:hint="eastAsia" w:ascii="仿宋" w:hAnsi="仿宋" w:eastAsia="仿宋" w:cs="Times New Roman"/>
          <w:b/>
          <w:bCs/>
          <w:color w:val="000000"/>
          <w:sz w:val="32"/>
          <w:szCs w:val="32"/>
          <w:highlight w:val="none"/>
          <w:lang w:bidi="ar"/>
        </w:rPr>
      </w:pPr>
      <w:r>
        <w:rPr>
          <w:rFonts w:hint="eastAsia" w:ascii="仿宋" w:hAnsi="仿宋" w:eastAsia="仿宋" w:cs="Times New Roman"/>
          <w:b/>
          <w:bCs/>
          <w:color w:val="000000"/>
          <w:sz w:val="32"/>
          <w:szCs w:val="32"/>
          <w:highlight w:val="none"/>
          <w:lang w:bidi="ar"/>
        </w:rPr>
        <w:t xml:space="preserve">3.项目联系方式</w:t>
      </w:r>
      <w:r>
        <w:rPr>
          <w:rFonts w:hint="eastAsia" w:ascii="仿宋" w:hAnsi="仿宋" w:eastAsia="仿宋" w:cs="Times New Roman"/>
          <w:b/>
          <w:bCs/>
          <w:color w:val="000000"/>
          <w:sz w:val="32"/>
          <w:szCs w:val="32"/>
          <w:highlight w:val="none"/>
          <w:lang w:bidi="ar"/>
        </w:rPr>
      </w:r>
      <w:r/>
    </w:p>
    <w:p>
      <w:pPr>
        <w:pStyle w:val="1072"/>
        <w:ind w:firstLine="640"/>
        <w:spacing w:line="360" w:lineRule="auto"/>
        <w:rPr>
          <w:rFonts w:hint="eastAsia" w:ascii="仿宋" w:hAnsi="仿宋" w:eastAsia="仿宋" w:cs="Times New Roman"/>
          <w:color w:val="000000"/>
          <w:sz w:val="32"/>
          <w:szCs w:val="32"/>
          <w:highlight w:val="none"/>
          <w:lang w:bidi="ar"/>
        </w:rPr>
      </w:pPr>
      <w:r>
        <w:rPr>
          <w:rFonts w:hint="eastAsia" w:ascii="仿宋" w:hAnsi="仿宋" w:eastAsia="仿宋" w:cs="Times New Roman"/>
          <w:color w:val="000000"/>
          <w:sz w:val="32"/>
          <w:szCs w:val="32"/>
          <w:highlight w:val="none"/>
          <w:lang w:bidi="ar"/>
        </w:rPr>
        <w:t xml:space="preserve">项目联系人：彭艳、王逸菲</w:t>
      </w:r>
      <w:r>
        <w:rPr>
          <w:rFonts w:hint="eastAsia" w:ascii="仿宋" w:hAnsi="仿宋" w:eastAsia="仿宋" w:cs="Times New Roman"/>
          <w:color w:val="000000"/>
          <w:sz w:val="32"/>
          <w:szCs w:val="32"/>
          <w:highlight w:val="none"/>
          <w:lang w:bidi="ar"/>
        </w:rPr>
      </w:r>
      <w:r/>
    </w:p>
    <w:p>
      <w:pPr>
        <w:pStyle w:val="1072"/>
        <w:ind w:firstLine="640"/>
        <w:jc w:val="left"/>
        <w:spacing w:line="360" w:lineRule="auto"/>
        <w:rPr>
          <w:rFonts w:ascii="宋体" w:hAnsi="宋体"/>
          <w:b/>
          <w:color w:val="000000"/>
          <w:sz w:val="32"/>
          <w:szCs w:val="32"/>
          <w:highlight w:val="none"/>
        </w:rPr>
      </w:pPr>
      <w:r>
        <w:rPr>
          <w:rFonts w:hint="eastAsia" w:ascii="仿宋" w:hAnsi="仿宋" w:eastAsia="仿宋" w:cs="Times New Roman"/>
          <w:color w:val="000000"/>
          <w:sz w:val="32"/>
          <w:szCs w:val="32"/>
          <w:highlight w:val="none"/>
          <w:lang w:bidi="ar"/>
        </w:rPr>
        <w:t xml:space="preserve">电  </w:t>
      </w:r>
      <w:r>
        <w:rPr>
          <w:rFonts w:hint="eastAsia" w:ascii="仿宋" w:hAnsi="仿宋" w:eastAsia="仿宋" w:cs="Times New Roman"/>
          <w:color w:val="000000"/>
          <w:sz w:val="32"/>
          <w:szCs w:val="32"/>
          <w:highlight w:val="none"/>
          <w:lang w:val="en-US" w:eastAsia="zh-CN" w:bidi="ar"/>
        </w:rPr>
        <w:t xml:space="preserve"> </w:t>
      </w:r>
      <w:r>
        <w:rPr>
          <w:rFonts w:hint="eastAsia" w:ascii="仿宋" w:hAnsi="仿宋" w:eastAsia="仿宋" w:cs="Times New Roman"/>
          <w:color w:val="000000"/>
          <w:sz w:val="32"/>
          <w:szCs w:val="32"/>
          <w:highlight w:val="none"/>
          <w:lang w:bidi="ar"/>
        </w:rPr>
        <w:t xml:space="preserve"> 话：0519-81580152  81580191  81580192（转分机号6034）</w:t>
      </w:r>
      <w:r>
        <w:rPr>
          <w:rFonts w:hint="eastAsia" w:ascii="仿宋" w:hAnsi="仿宋" w:eastAsia="仿宋" w:cs="Times New Roman"/>
          <w:color w:val="000000"/>
          <w:sz w:val="32"/>
          <w:szCs w:val="32"/>
          <w:highlight w:val="none"/>
          <w:lang w:bidi="ar"/>
        </w:rPr>
        <w:br w:type="page" w:clear="all"/>
      </w:r>
      <w:bookmarkStart w:id="32" w:name="_Toc127161488"/>
      <w:r/>
      <w:bookmarkStart w:id="33" w:name="_Toc353873938"/>
      <w:r/>
      <w:bookmarkStart w:id="34" w:name="_Toc305158854"/>
      <w:r/>
      <w:bookmarkStart w:id="35" w:name="_Toc265228423"/>
      <w:r/>
      <w:bookmarkStart w:id="36" w:name="_Toc264969275"/>
      <w:r/>
      <w:bookmarkStart w:id="37" w:name="_Toc226965856"/>
      <w:r/>
      <w:bookmarkStart w:id="38" w:name="_Toc99301420"/>
      <w:r/>
      <w:bookmarkStart w:id="39" w:name="_Toc127151777"/>
      <w:r/>
      <w:bookmarkStart w:id="40" w:name="_Toc150774783"/>
      <w:r/>
      <w:bookmarkStart w:id="41" w:name="_Toc512937850"/>
      <w:r/>
      <w:bookmarkStart w:id="42" w:name="_Toc353825548"/>
      <w:r/>
      <w:bookmarkStart w:id="43" w:name="_Toc195842950"/>
      <w:r/>
      <w:bookmarkStart w:id="44" w:name="_Toc305158928"/>
      <w:r>
        <w:rPr>
          <w:rFonts w:ascii="宋体" w:hAnsi="宋体"/>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rFonts w:ascii="宋体" w:hAnsi="宋体"/>
          <w:b/>
          <w:color w:val="000000"/>
          <w:sz w:val="32"/>
          <w:szCs w:val="32"/>
          <w:highlight w:val="none"/>
        </w:rPr>
      </w:r>
      <w:r/>
    </w:p>
    <w:p>
      <w:pPr>
        <w:pStyle w:val="1074"/>
        <w:spacing w:before="0" w:line="360" w:lineRule="auto"/>
        <w:tabs>
          <w:tab w:val="center" w:pos="4592" w:leader="none"/>
          <w:tab w:val="left" w:pos="7860" w:leader="none"/>
        </w:tabs>
        <w:rPr>
          <w:rFonts w:ascii="宋体" w:hAnsi="宋体" w:eastAsia="宋体"/>
          <w:color w:val="000000"/>
          <w:sz w:val="28"/>
          <w:highlight w:val="none"/>
        </w:rPr>
      </w:pPr>
      <w:r/>
      <w:bookmarkStart w:id="45" w:name="_Toc149720812"/>
      <w:r/>
      <w:bookmarkStart w:id="46" w:name="_Toc142311021"/>
      <w:r/>
      <w:bookmarkStart w:id="47" w:name="_Toc226965709"/>
      <w:r/>
      <w:bookmarkStart w:id="48" w:name="_Toc151193689"/>
      <w:r/>
      <w:bookmarkStart w:id="49" w:name="_Toc520356144"/>
      <w:r/>
      <w:bookmarkStart w:id="50" w:name="_Toc195842884"/>
      <w:r/>
      <w:bookmarkStart w:id="51" w:name="_Toc164351613"/>
      <w:r/>
      <w:bookmarkStart w:id="52" w:name="_Toc164229360"/>
      <w:r/>
      <w:bookmarkStart w:id="53" w:name="_Toc127151519"/>
      <w:r/>
      <w:bookmarkStart w:id="54" w:name="_Toc150774619"/>
      <w:r/>
      <w:bookmarkStart w:id="55" w:name="_Toc226337215"/>
      <w:r/>
      <w:bookmarkStart w:id="56" w:name="_Toc150480757"/>
      <w:r/>
      <w:bookmarkStart w:id="57" w:name="_Toc151193833"/>
      <w:r/>
      <w:bookmarkStart w:id="58" w:name="_Toc127161433"/>
      <w:r/>
      <w:bookmarkStart w:id="59" w:name="_Toc226309763"/>
      <w:r/>
      <w:bookmarkStart w:id="60" w:name="_Toc151193907"/>
      <w:r/>
      <w:bookmarkStart w:id="61" w:name="_Toc151193617"/>
      <w:r/>
      <w:bookmarkStart w:id="62" w:name="_Toc151193761"/>
      <w:r/>
      <w:bookmarkStart w:id="63" w:name="_Toc164608633"/>
      <w:r/>
      <w:bookmarkStart w:id="64" w:name="_Toc127151720"/>
      <w:r/>
      <w:bookmarkStart w:id="65" w:name="_Toc164229214"/>
      <w:r/>
      <w:bookmarkStart w:id="66" w:name="_Toc150774724"/>
      <w:r/>
      <w:bookmarkStart w:id="67" w:name="_Toc150509270"/>
      <w:r/>
      <w:bookmarkStart w:id="68" w:name="_Toc151190146"/>
      <w:r/>
      <w:bookmarkStart w:id="69" w:name="_Toc226965792"/>
      <w:r/>
      <w:bookmarkStart w:id="70" w:name="_Toc164608788"/>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72"/>
        <w:jc w:val="center"/>
        <w:rPr>
          <w:rFonts w:ascii="宋体" w:hAnsi="宋体"/>
          <w:b/>
          <w:color w:val="000000"/>
          <w:sz w:val="28"/>
          <w:szCs w:val="28"/>
          <w:highlight w:val="none"/>
        </w:rPr>
      </w:pPr>
      <w:r>
        <w:rPr>
          <w:rFonts w:ascii="宋体" w:hAnsi="宋体"/>
          <w:b/>
          <w:color w:val="000000"/>
          <w:sz w:val="28"/>
          <w:szCs w:val="28"/>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72"/>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11"/>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11"/>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本项目_01_包为单一产品采购项目。</w:t>
            </w:r>
            <w:r>
              <w:rPr>
                <w:rFonts w:hAnsi="宋体" w:cs="宋体"/>
                <w:color w:val="000000"/>
                <w:sz w:val="24"/>
                <w:szCs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  包为非单一产品采购项目，核心产品为：/。</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72"/>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1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□需要，具体要求如下：</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（1）样品制作的标准和要求：_________；</w:t>
            </w:r>
            <w:r>
              <w:rPr>
                <w:rFonts w:hint="eastAsia" w:ascii="宋体" w:hAnsi="宋体" w:cs="宋体"/>
                <w:color w:val="000000"/>
                <w:sz w:val="24"/>
                <w:highlight w:val="none"/>
                <w:u w:val="singl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（2）是否需要随样品提交相关检测报告：</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72"/>
              <w:ind w:firstLine="600"/>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rPr>
              <w:t xml:space="preserve">2025年</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30</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81580192（转分机号6034）；</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color w:val="000000"/>
                <w:sz w:val="24"/>
                <w:highlight w:val="none"/>
              </w:rPr>
              <w:t xml:space="preserve">■中标人</w:t>
            </w:r>
            <w:r>
              <w:rPr>
                <w:rFonts w:hint="eastAsia" w:ascii="宋体" w:hAnsi="宋体" w:cs="宋体"/>
                <w:color w:val="000000"/>
                <w:sz w:val="24"/>
                <w:highlight w:val="none"/>
              </w:rPr>
            </w:r>
            <w:r/>
          </w:p>
          <w:p>
            <w:pPr>
              <w:pStyle w:val="1072"/>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（二）收费标准：</w:t>
            </w:r>
            <w:r>
              <w:rPr>
                <w:rFonts w:hint="eastAsia" w:ascii="宋体" w:hAnsi="宋体" w:cs="宋体"/>
                <w:b/>
                <w:color w:val="000000"/>
                <w:sz w:val="24"/>
                <w:highlight w:val="none"/>
              </w:rPr>
            </w:r>
            <w:r/>
          </w:p>
          <w:p>
            <w:pPr>
              <w:pStyle w:val="1072"/>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成交供应商须按其成交金额的0.8%计算并支付代理费，不足人民币3000元的，按人民币3000元收取。</w:t>
            </w: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highlight w:val="none"/>
              </w:rPr>
            </w:r>
            <w:r/>
          </w:p>
          <w:p>
            <w:pPr>
              <w:pStyle w:val="1072"/>
              <w:jc w:val="left"/>
              <w:rPr>
                <w:rFonts w:hint="eastAsia" w:ascii="宋体" w:hAnsi="宋体" w:cs="宋体"/>
                <w:color w:val="000000"/>
                <w:sz w:val="24"/>
                <w:highlight w:val="none"/>
              </w:rPr>
            </w:pPr>
            <w:r>
              <w:rPr>
                <w:rFonts w:hint="eastAsia" w:ascii="宋体" w:hAnsi="宋体" w:cs="宋体"/>
                <w:b/>
                <w:color w:val="000000"/>
                <w:sz w:val="24"/>
                <w:highlight w:val="none"/>
              </w:rPr>
              <w:t xml:space="preserve">（三）缴纳时间：</w:t>
            </w:r>
            <w:r>
              <w:rPr>
                <w:rFonts w:hint="eastAsia" w:ascii="宋体" w:hAnsi="宋体" w:cs="宋体"/>
                <w:color w:val="000000"/>
                <w:sz w:val="24"/>
                <w:highlight w:val="none"/>
              </w:rPr>
              <w:t xml:space="preserve">中标人应在领取中标通知书时将代理费支付至常州市城投建设工程招标有限公司账户。</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72"/>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11"/>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72"/>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72"/>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72"/>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72"/>
        <w:jc w:val="center"/>
        <w:spacing w:before="240" w:after="240"/>
        <w:rPr>
          <w:rFonts w:hint="eastAsia" w:ascii="宋体" w:hAnsi="宋体" w:cs="宋体"/>
          <w:b/>
          <w:color w:val="000000"/>
          <w:sz w:val="28"/>
          <w:szCs w:val="28"/>
          <w:highlight w:val="none"/>
        </w:rPr>
      </w:pPr>
      <w:r/>
      <w:bookmarkStart w:id="71" w:name="_Toc353873932"/>
      <w:r/>
      <w:bookmarkStart w:id="72" w:name="_Toc353825542"/>
      <w:r/>
      <w:bookmarkStart w:id="73" w:name="_Toc265228355"/>
      <w:r/>
      <w:bookmarkStart w:id="74" w:name="_Toc305158859"/>
      <w:r/>
      <w:bookmarkStart w:id="75" w:name="_Toc353873662"/>
      <w:r/>
      <w:bookmarkStart w:id="76" w:name="_Toc150480755"/>
      <w:r/>
      <w:bookmarkStart w:id="77" w:name="_Toc127151517"/>
      <w:r/>
      <w:bookmarkStart w:id="78" w:name="_Toc226965790"/>
      <w:r/>
      <w:bookmarkStart w:id="79" w:name="_Toc305158785"/>
      <w:r/>
      <w:bookmarkStart w:id="80" w:name="_Toc150774722"/>
      <w:r/>
      <w:bookmarkStart w:id="81" w:name="_Toc142311019"/>
      <w:r/>
      <w:bookmarkStart w:id="82" w:name="_Toc264969207"/>
      <w:r/>
      <w:bookmarkStart w:id="83" w:name="_Toc195842882"/>
      <w:r/>
      <w:bookmarkStart w:id="84" w:name="_Toc226337213"/>
      <w:r>
        <w:rPr>
          <w:rFonts w:hint="eastAsia" w:ascii="宋体" w:hAnsi="宋体" w:cs="宋体"/>
          <w:b/>
          <w:color w:val="000000"/>
          <w:sz w:val="28"/>
          <w:szCs w:val="28"/>
          <w:highlight w:val="none"/>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rFonts w:hint="eastAsia" w:ascii="宋体" w:hAnsi="宋体" w:cs="宋体"/>
          <w:b/>
          <w:color w:val="000000"/>
          <w:sz w:val="28"/>
          <w:szCs w:val="28"/>
          <w:highlight w:val="none"/>
        </w:rPr>
      </w:r>
      <w:r/>
    </w:p>
    <w:p>
      <w:pPr>
        <w:pStyle w:val="1074"/>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5" w:name="_Toc127151518"/>
      <w:r/>
      <w:bookmarkStart w:id="86" w:name="_Toc520356143"/>
      <w:r>
        <w:rPr>
          <w:rFonts w:hint="eastAsia" w:ascii="宋体" w:hAnsi="宋体" w:eastAsia="宋体" w:cs="宋体"/>
          <w:color w:val="000000"/>
          <w:sz w:val="28"/>
          <w:highlight w:val="none"/>
        </w:rPr>
        <w:tab/>
      </w:r>
      <w:bookmarkStart w:id="87" w:name="_Toc265228356"/>
      <w:r/>
      <w:bookmarkStart w:id="88" w:name="_Toc151193616"/>
      <w:r/>
      <w:bookmarkStart w:id="89" w:name="_Toc151193906"/>
      <w:r/>
      <w:bookmarkStart w:id="90" w:name="_Toc226965791"/>
      <w:r/>
      <w:bookmarkStart w:id="91" w:name="_Toc305158860"/>
      <w:r/>
      <w:bookmarkStart w:id="92" w:name="_Toc264969208"/>
      <w:r/>
      <w:bookmarkStart w:id="93" w:name="_Toc151193832"/>
      <w:r/>
      <w:bookmarkStart w:id="94" w:name="_Toc150774618"/>
      <w:r/>
      <w:bookmarkStart w:id="95" w:name="_Toc195842883"/>
      <w:r/>
      <w:bookmarkStart w:id="96" w:name="_Toc305158786"/>
      <w:r/>
      <w:bookmarkStart w:id="97" w:name="_Toc151193760"/>
      <w:r/>
      <w:bookmarkStart w:id="98" w:name="_Toc150774723"/>
      <w:r/>
      <w:bookmarkStart w:id="99" w:name="_Toc151190145"/>
      <w:r/>
      <w:bookmarkStart w:id="100" w:name="_Toc226965708"/>
      <w:r/>
      <w:bookmarkStart w:id="101" w:name="_Toc226309762"/>
      <w:r/>
      <w:bookmarkStart w:id="102" w:name="_Toc151193688"/>
      <w:r/>
      <w:bookmarkStart w:id="103" w:name="_Toc150480756"/>
      <w:r/>
      <w:bookmarkStart w:id="104" w:name="_Toc150509269"/>
      <w:r/>
      <w:bookmarkStart w:id="105" w:name="_Toc226337214"/>
      <w:r/>
      <w:bookmarkStart w:id="106" w:name="_Toc142311020"/>
      <w:r>
        <w:rPr>
          <w:rFonts w:hint="eastAsia" w:ascii="宋体" w:hAnsi="宋体" w:eastAsia="宋体" w:cs="宋体"/>
          <w:color w:val="000000"/>
          <w:sz w:val="28"/>
          <w:highlight w:val="none"/>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07" w:name="_Toc264969209"/>
      <w:r/>
      <w:bookmarkStart w:id="108" w:name="_Toc265228357"/>
      <w:r/>
      <w:bookmarkStart w:id="109" w:name="_Toc305158861"/>
      <w:r/>
      <w:bookmarkStart w:id="110" w:name="_Toc305158787"/>
      <w:r>
        <w:rPr>
          <w:rFonts w:hint="eastAsia" w:ascii="宋体" w:hAnsi="宋体" w:cs="宋体"/>
          <w:b/>
          <w:color w:val="000000"/>
          <w:sz w:val="24"/>
          <w:highlight w:val="none"/>
        </w:rPr>
        <w:t xml:space="preserve">采购人、采购代理机构、投标人</w:t>
      </w:r>
      <w:bookmarkEnd w:id="107"/>
      <w:r/>
      <w:bookmarkEnd w:id="108"/>
      <w:r/>
      <w:bookmarkEnd w:id="109"/>
      <w:r/>
      <w:bookmarkEnd w:id="110"/>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127151520"/>
      <w:r/>
      <w:bookmarkStart w:id="112" w:name="_Toc150774620"/>
      <w:r/>
      <w:bookmarkStart w:id="113" w:name="_Toc164608789"/>
      <w:r/>
      <w:bookmarkStart w:id="114" w:name="_Toc195842885"/>
      <w:r/>
      <w:bookmarkStart w:id="115" w:name="_Toc226337216"/>
      <w:r/>
      <w:bookmarkStart w:id="116" w:name="_Toc164608634"/>
      <w:r/>
      <w:bookmarkStart w:id="117" w:name="_Toc151193618"/>
      <w:r/>
      <w:bookmarkStart w:id="118" w:name="_Toc150774725"/>
      <w:r/>
      <w:bookmarkStart w:id="119" w:name="_Toc151193834"/>
      <w:r/>
      <w:bookmarkStart w:id="120" w:name="_Toc149720813"/>
      <w:r/>
      <w:bookmarkStart w:id="121" w:name="_Toc164229361"/>
      <w:r/>
      <w:bookmarkStart w:id="122" w:name="_Toc305158788"/>
      <w:r/>
      <w:bookmarkStart w:id="123" w:name="_Toc127151721"/>
      <w:r/>
      <w:bookmarkStart w:id="124" w:name="_Toc150480758"/>
      <w:r/>
      <w:bookmarkStart w:id="125" w:name="_Toc127161434"/>
      <w:r/>
      <w:bookmarkStart w:id="126" w:name="_Toc226965793"/>
      <w:r/>
      <w:bookmarkStart w:id="127" w:name="_Toc226309764"/>
      <w:r/>
      <w:bookmarkStart w:id="128" w:name="_Toc142311022"/>
      <w:r/>
      <w:bookmarkStart w:id="129" w:name="_Toc151193908"/>
      <w:r/>
      <w:bookmarkStart w:id="130" w:name="_Toc151193762"/>
      <w:r/>
      <w:bookmarkStart w:id="131" w:name="_Toc164229215"/>
      <w:r/>
      <w:bookmarkStart w:id="132" w:name="_Toc305158862"/>
      <w:r/>
      <w:bookmarkStart w:id="133" w:name="_Toc150509271"/>
      <w:r/>
      <w:bookmarkStart w:id="134" w:name="_Toc164351614"/>
      <w:r/>
      <w:bookmarkStart w:id="135" w:name="_Toc264969210"/>
      <w:r/>
      <w:bookmarkStart w:id="136" w:name="_Toc151190147"/>
      <w:r/>
      <w:bookmarkStart w:id="137" w:name="_Toc265228358"/>
      <w:r/>
      <w:bookmarkStart w:id="138" w:name="_Toc151193690"/>
      <w:r/>
      <w:bookmarkStart w:id="139" w:name="_Toc226965710"/>
      <w:r>
        <w:rPr>
          <w:rFonts w:hint="eastAsia" w:ascii="宋体" w:hAnsi="宋体" w:cs="宋体"/>
          <w:b/>
          <w:color w:val="000000"/>
          <w:sz w:val="24"/>
          <w:highlight w:val="none"/>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0" w:name="_Toc151190149"/>
      <w:r/>
      <w:bookmarkStart w:id="141" w:name="_Toc150774727"/>
      <w:r/>
      <w:bookmarkStart w:id="142" w:name="_Toc265228360"/>
      <w:r/>
      <w:bookmarkStart w:id="143" w:name="_Toc226309766"/>
      <w:r/>
      <w:bookmarkStart w:id="144" w:name="_Toc142311024"/>
      <w:r/>
      <w:bookmarkStart w:id="145" w:name="_Toc264969212"/>
      <w:r/>
      <w:bookmarkStart w:id="146" w:name="_Toc305158790"/>
      <w:r/>
      <w:bookmarkStart w:id="147" w:name="_Toc151193764"/>
      <w:r/>
      <w:bookmarkStart w:id="148" w:name="_Toc520356146"/>
      <w:r/>
      <w:bookmarkStart w:id="149" w:name="_Toc151193620"/>
      <w:r/>
      <w:bookmarkStart w:id="150" w:name="_Toc226337218"/>
      <w:r/>
      <w:bookmarkStart w:id="151" w:name="_Toc151193910"/>
      <w:r/>
      <w:bookmarkStart w:id="152" w:name="_Toc195842887"/>
      <w:r/>
      <w:bookmarkStart w:id="153" w:name="_Toc151193692"/>
      <w:r/>
      <w:bookmarkStart w:id="154" w:name="_Toc226965795"/>
      <w:r/>
      <w:bookmarkStart w:id="155" w:name="_Toc305158864"/>
      <w:r/>
      <w:bookmarkStart w:id="156" w:name="_Toc150480760"/>
      <w:r/>
      <w:bookmarkStart w:id="157" w:name="_Toc150774622"/>
      <w:r/>
      <w:bookmarkStart w:id="158" w:name="_Toc150509273"/>
      <w:r/>
      <w:bookmarkStart w:id="159" w:name="_Toc127151522"/>
      <w:r/>
      <w:bookmarkStart w:id="160" w:name="_Toc226965712"/>
      <w:r/>
      <w:bookmarkStart w:id="161" w:name="_Toc151193836"/>
      <w:r>
        <w:rPr>
          <w:rFonts w:hint="eastAsia" w:ascii="宋体" w:hAnsi="宋体" w:cs="宋体"/>
          <w:color w:val="000000"/>
          <w:sz w:val="28"/>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72"/>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67"/>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72"/>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72"/>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72"/>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72"/>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72"/>
        <w:ind w:firstLine="480"/>
        <w:spacing w:line="360" w:lineRule="auto"/>
        <w:rPr>
          <w:rFonts w:hint="eastAsia" w:ascii="宋体" w:hAnsi="宋体" w:cs="宋体"/>
          <w:b/>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72"/>
        <w:ind w:firstLine="560"/>
        <w:spacing w:line="360" w:lineRule="auto"/>
        <w:tabs>
          <w:tab w:val="left" w:pos="1080" w:leader="none"/>
        </w:tabs>
        <w:rPr>
          <w:rFonts w:hint="eastAsia" w:ascii="宋体" w:hAnsi="宋体" w:cs="宋体"/>
          <w:color w:val="000000"/>
          <w:sz w:val="28"/>
          <w:highlight w:val="none"/>
        </w:rPr>
      </w:pPr>
      <w:r/>
      <w:bookmarkStart w:id="162" w:name="_1.8_计量单位"/>
      <w:r/>
      <w:bookmarkEnd w:id="162"/>
      <w:r>
        <w:rPr>
          <w:rFonts w:hint="eastAsia" w:ascii="宋体" w:hAnsi="宋体" w:cs="宋体"/>
          <w:color w:val="000000"/>
          <w:sz w:val="28"/>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3" w:name="_Toc164229364"/>
      <w:r/>
      <w:bookmarkStart w:id="164" w:name="_Toc164229218"/>
      <w:r/>
      <w:bookmarkStart w:id="165" w:name="_Toc305158865"/>
      <w:r/>
      <w:bookmarkStart w:id="166" w:name="_Toc265228361"/>
      <w:r/>
      <w:bookmarkStart w:id="167" w:name="_Toc127161437"/>
      <w:r/>
      <w:bookmarkStart w:id="168" w:name="_Toc264969213"/>
      <w:r/>
      <w:bookmarkStart w:id="169" w:name="_Toc164608637"/>
      <w:r/>
      <w:bookmarkStart w:id="170" w:name="_Toc226309767"/>
      <w:r/>
      <w:bookmarkStart w:id="171" w:name="_Toc151193911"/>
      <w:r/>
      <w:bookmarkStart w:id="172" w:name="_Toc164608792"/>
      <w:r/>
      <w:bookmarkStart w:id="173" w:name="_Toc142311025"/>
      <w:r/>
      <w:bookmarkStart w:id="174" w:name="_Toc127151523"/>
      <w:r/>
      <w:bookmarkStart w:id="175" w:name="_Toc150774623"/>
      <w:r/>
      <w:bookmarkStart w:id="176" w:name="_Toc150774728"/>
      <w:r/>
      <w:bookmarkStart w:id="177" w:name="_Toc150480761"/>
      <w:r/>
      <w:bookmarkStart w:id="178" w:name="_Toc151193765"/>
      <w:r/>
      <w:bookmarkStart w:id="179" w:name="_Toc195842888"/>
      <w:r/>
      <w:bookmarkStart w:id="180" w:name="_Toc520356147"/>
      <w:r/>
      <w:bookmarkStart w:id="181" w:name="_Toc164351617"/>
      <w:r/>
      <w:bookmarkStart w:id="182" w:name="_Toc151193693"/>
      <w:r/>
      <w:bookmarkStart w:id="183" w:name="_Toc226337219"/>
      <w:r/>
      <w:bookmarkStart w:id="184" w:name="_Toc226965796"/>
      <w:r/>
      <w:bookmarkStart w:id="185" w:name="_Toc149720816"/>
      <w:r/>
      <w:bookmarkStart w:id="186" w:name="_Toc150509274"/>
      <w:r/>
      <w:bookmarkStart w:id="187" w:name="_Toc151190150"/>
      <w:r/>
      <w:bookmarkStart w:id="188" w:name="_Toc151193837"/>
      <w:r/>
      <w:bookmarkStart w:id="189" w:name="_Toc305158791"/>
      <w:r/>
      <w:bookmarkStart w:id="190" w:name="_Toc127151724"/>
      <w:r/>
      <w:bookmarkStart w:id="191" w:name="_Toc226965713"/>
      <w:r/>
      <w:bookmarkStart w:id="192" w:name="_Toc151193621"/>
      <w:r>
        <w:rPr>
          <w:rFonts w:hint="eastAsia" w:ascii="宋体" w:hAnsi="宋体" w:cs="宋体"/>
          <w:b/>
          <w:color w:val="000000"/>
          <w:sz w:val="24"/>
          <w:highlight w:val="none"/>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72"/>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193" w:name="_Toc226337222"/>
      <w:r/>
      <w:bookmarkStart w:id="194" w:name="_Toc226309770"/>
      <w:r/>
      <w:bookmarkStart w:id="195" w:name="_Toc150774731"/>
      <w:r/>
      <w:bookmarkStart w:id="196" w:name="_Toc151193768"/>
      <w:r/>
      <w:bookmarkStart w:id="197" w:name="_Toc520356150"/>
      <w:r/>
      <w:bookmarkStart w:id="198" w:name="_Toc150480764"/>
      <w:r/>
      <w:bookmarkStart w:id="199" w:name="_Toc150509277"/>
      <w:r/>
      <w:bookmarkStart w:id="200" w:name="_Toc151190153"/>
      <w:r/>
      <w:bookmarkStart w:id="201" w:name="_Toc264969216"/>
      <w:r/>
      <w:bookmarkStart w:id="202" w:name="_Toc142311028"/>
      <w:r/>
      <w:bookmarkStart w:id="203" w:name="_Toc265228364"/>
      <w:r/>
      <w:bookmarkStart w:id="204" w:name="_Toc150774626"/>
      <w:r/>
      <w:bookmarkStart w:id="205" w:name="_Toc151193624"/>
      <w:r/>
      <w:bookmarkStart w:id="206" w:name="_Toc516367020"/>
      <w:r/>
      <w:bookmarkStart w:id="207" w:name="_Toc305158868"/>
      <w:r/>
      <w:bookmarkStart w:id="208" w:name="_Toc127151526"/>
      <w:r/>
      <w:bookmarkStart w:id="209" w:name="_Toc195842891"/>
      <w:r/>
      <w:bookmarkStart w:id="210" w:name="_Toc151193840"/>
      <w:r/>
      <w:bookmarkStart w:id="211" w:name="_Toc305158794"/>
      <w:r/>
      <w:bookmarkStart w:id="212" w:name="_Toc151193696"/>
      <w:r/>
      <w:bookmarkStart w:id="213" w:name="_Toc226965799"/>
      <w:r/>
      <w:bookmarkStart w:id="214" w:name="_Toc226965716"/>
      <w:r/>
      <w:bookmarkStart w:id="215" w:name="_Toc151193914"/>
      <w:r>
        <w:rPr>
          <w:rFonts w:hint="eastAsia" w:ascii="宋体" w:hAnsi="宋体" w:eastAsia="宋体" w:cs="宋体"/>
          <w:color w:val="000000"/>
          <w:sz w:val="28"/>
          <w:highlight w:val="none"/>
        </w:rPr>
        <w:t xml:space="preserve">三   投标文件</w:t>
      </w:r>
      <w:bookmarkEnd w:id="206"/>
      <w:r>
        <w:rPr>
          <w:rFonts w:hint="eastAsia" w:ascii="宋体" w:hAnsi="宋体" w:eastAsia="宋体" w:cs="宋体"/>
          <w:color w:val="000000"/>
          <w:sz w:val="28"/>
          <w:highlight w:val="none"/>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16" w:name="_Toc150774627"/>
      <w:r/>
      <w:bookmarkStart w:id="217" w:name="_Toc151193625"/>
      <w:r/>
      <w:bookmarkStart w:id="218" w:name="_Toc151190154"/>
      <w:r/>
      <w:bookmarkStart w:id="219" w:name="_Toc151193915"/>
      <w:r/>
      <w:bookmarkStart w:id="220" w:name="_Toc151193697"/>
      <w:r/>
      <w:bookmarkStart w:id="221" w:name="_Toc226965800"/>
      <w:r/>
      <w:bookmarkStart w:id="222" w:name="_Toc142311029"/>
      <w:r/>
      <w:bookmarkStart w:id="223" w:name="_Toc516367021"/>
      <w:r/>
      <w:bookmarkStart w:id="224" w:name="_Toc127151728"/>
      <w:r/>
      <w:bookmarkStart w:id="225" w:name="_Toc305158795"/>
      <w:r/>
      <w:bookmarkStart w:id="226" w:name="_Toc127151527"/>
      <w:r/>
      <w:bookmarkStart w:id="227" w:name="_Toc151193841"/>
      <w:r/>
      <w:bookmarkStart w:id="228" w:name="_Toc226309771"/>
      <w:r/>
      <w:bookmarkStart w:id="229" w:name="_Toc164351621"/>
      <w:r/>
      <w:bookmarkStart w:id="230" w:name="_Toc195842892"/>
      <w:r/>
      <w:bookmarkStart w:id="231" w:name="_Toc226337223"/>
      <w:r/>
      <w:bookmarkStart w:id="232" w:name="_Toc520356151"/>
      <w:r/>
      <w:bookmarkStart w:id="233" w:name="_Toc305158869"/>
      <w:r/>
      <w:bookmarkStart w:id="234" w:name="_Toc164608796"/>
      <w:r/>
      <w:bookmarkStart w:id="235" w:name="_Toc164608641"/>
      <w:r/>
      <w:bookmarkStart w:id="236" w:name="_Toc264969217"/>
      <w:r/>
      <w:bookmarkStart w:id="237" w:name="_Toc127161441"/>
      <w:r/>
      <w:bookmarkStart w:id="238" w:name="_Toc265228365"/>
      <w:r/>
      <w:bookmarkStart w:id="239" w:name="_Toc150480765"/>
      <w:r/>
      <w:bookmarkStart w:id="240" w:name="_Toc226965717"/>
      <w:r/>
      <w:bookmarkStart w:id="241" w:name="_Toc150774732"/>
      <w:r/>
      <w:bookmarkStart w:id="242" w:name="_Toc164229368"/>
      <w:r/>
      <w:bookmarkStart w:id="243" w:name="_Toc150509278"/>
      <w:r/>
      <w:bookmarkStart w:id="244" w:name="_Toc164229222"/>
      <w:r/>
      <w:bookmarkStart w:id="245" w:name="_Toc149720820"/>
      <w:r/>
      <w:bookmarkStart w:id="246" w:name="_Toc151193769"/>
      <w:r>
        <w:rPr>
          <w:rFonts w:hint="eastAsia" w:ascii="宋体" w:hAnsi="宋体" w:cs="宋体"/>
          <w:b/>
          <w:color w:val="000000"/>
          <w:sz w:val="24"/>
          <w:highlight w:val="none"/>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47" w:name="_Toc149720821"/>
      <w:r/>
      <w:bookmarkStart w:id="248" w:name="_Toc151193698"/>
      <w:r/>
      <w:bookmarkStart w:id="249" w:name="_Toc151193916"/>
      <w:r/>
      <w:bookmarkStart w:id="250" w:name="_Toc151193842"/>
      <w:r/>
      <w:bookmarkStart w:id="251" w:name="_Toc150509279"/>
      <w:r/>
      <w:bookmarkStart w:id="252" w:name="_Toc151193626"/>
      <w:r/>
      <w:bookmarkStart w:id="253" w:name="_Toc265228366"/>
      <w:r/>
      <w:bookmarkStart w:id="254" w:name="_Toc516367022"/>
      <w:r/>
      <w:bookmarkStart w:id="255" w:name="_Ref467306676"/>
      <w:r/>
      <w:bookmarkStart w:id="256" w:name="_Ref467306195"/>
      <w:r/>
      <w:bookmarkStart w:id="257" w:name="_Toc164229369"/>
      <w:r/>
      <w:bookmarkStart w:id="258" w:name="_Toc226309772"/>
      <w:r/>
      <w:bookmarkStart w:id="259" w:name="_Toc142311030"/>
      <w:r/>
      <w:bookmarkStart w:id="260" w:name="_Toc226337224"/>
      <w:r/>
      <w:bookmarkStart w:id="261" w:name="_Toc150774733"/>
      <w:r/>
      <w:bookmarkStart w:id="262" w:name="_Toc264969218"/>
      <w:r/>
      <w:bookmarkStart w:id="263" w:name="_Toc164608797"/>
      <w:r/>
      <w:bookmarkStart w:id="264" w:name="_Toc127151528"/>
      <w:r/>
      <w:bookmarkStart w:id="265" w:name="_Toc226965801"/>
      <w:r/>
      <w:bookmarkStart w:id="266" w:name="_Toc127151729"/>
      <w:r/>
      <w:bookmarkStart w:id="267" w:name="_Toc150774628"/>
      <w:r/>
      <w:bookmarkStart w:id="268" w:name="_Toc305158796"/>
      <w:r/>
      <w:bookmarkStart w:id="269" w:name="_Toc151190155"/>
      <w:r/>
      <w:bookmarkStart w:id="270" w:name="_Toc226965718"/>
      <w:r/>
      <w:bookmarkStart w:id="271" w:name="_Toc151193770"/>
      <w:r/>
      <w:bookmarkStart w:id="272" w:name="_Toc150480766"/>
      <w:r/>
      <w:bookmarkStart w:id="273" w:name="_Toc127161442"/>
      <w:r/>
      <w:bookmarkStart w:id="274" w:name="_Toc164229223"/>
      <w:r/>
      <w:bookmarkStart w:id="275" w:name="_Toc520356152"/>
      <w:r/>
      <w:bookmarkStart w:id="276" w:name="_Toc195842893"/>
      <w:r/>
      <w:bookmarkStart w:id="277" w:name="_Toc164608642"/>
      <w:r/>
      <w:bookmarkStart w:id="278" w:name="_Toc164351622"/>
      <w:r/>
      <w:bookmarkStart w:id="279" w:name="_Toc305158870"/>
      <w:r>
        <w:rPr>
          <w:rFonts w:hint="eastAsia" w:ascii="宋体" w:hAnsi="宋体" w:cs="宋体"/>
          <w:b/>
          <w:color w:val="000000"/>
          <w:sz w:val="24"/>
          <w:highlight w:val="none"/>
        </w:rPr>
        <w:t xml:space="preserve">投标文件</w:t>
      </w:r>
      <w:bookmarkEnd w:id="254"/>
      <w:r/>
      <w:bookmarkEnd w:id="255"/>
      <w:r/>
      <w:bookmarkEnd w:id="256"/>
      <w:r>
        <w:rPr>
          <w:rFonts w:hint="eastAsia" w:ascii="宋体" w:hAnsi="宋体" w:cs="宋体"/>
          <w:b/>
          <w:color w:val="000000"/>
          <w:sz w:val="24"/>
          <w:highlight w:val="none"/>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0"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0"/>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1" w:name="_Toc164229225"/>
      <w:r/>
      <w:bookmarkStart w:id="282" w:name="_Toc150480768"/>
      <w:r/>
      <w:bookmarkStart w:id="283" w:name="_Toc127161444"/>
      <w:r/>
      <w:bookmarkStart w:id="284" w:name="_Toc150774735"/>
      <w:r/>
      <w:bookmarkStart w:id="285" w:name="_Toc151193700"/>
      <w:r/>
      <w:bookmarkStart w:id="286" w:name="_Toc150509281"/>
      <w:r/>
      <w:bookmarkStart w:id="287" w:name="_Toc151193628"/>
      <w:r/>
      <w:bookmarkStart w:id="288" w:name="_Toc151193918"/>
      <w:r/>
      <w:bookmarkStart w:id="289" w:name="_Toc151193844"/>
      <w:r/>
      <w:bookmarkStart w:id="290" w:name="_Toc151193772"/>
      <w:r/>
      <w:bookmarkStart w:id="291" w:name="_Toc195842895"/>
      <w:r/>
      <w:bookmarkStart w:id="292" w:name="_Toc142311032"/>
      <w:r/>
      <w:bookmarkStart w:id="293" w:name="_Toc150774630"/>
      <w:r/>
      <w:bookmarkStart w:id="294" w:name="_Toc164351624"/>
      <w:r/>
      <w:bookmarkStart w:id="295" w:name="_Toc520356155"/>
      <w:r/>
      <w:bookmarkStart w:id="296" w:name="_Toc164608799"/>
      <w:r/>
      <w:bookmarkStart w:id="297" w:name="_Toc127151530"/>
      <w:r/>
      <w:bookmarkStart w:id="298" w:name="_Toc151190157"/>
      <w:r/>
      <w:bookmarkStart w:id="299" w:name="_Toc164229371"/>
      <w:r/>
      <w:bookmarkStart w:id="300" w:name="_Toc149720823"/>
      <w:r/>
      <w:bookmarkStart w:id="301" w:name="_Toc164608644"/>
      <w:r/>
      <w:bookmarkStart w:id="302" w:name="_Toc127151731"/>
      <w:r>
        <w:rPr>
          <w:rFonts w:hint="eastAsia" w:ascii="宋体" w:hAnsi="宋体" w:cs="宋体"/>
          <w:b/>
          <w:color w:val="000000"/>
          <w:sz w:val="24"/>
          <w:highlight w:val="none"/>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 </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3" w:name="_Toc164229226"/>
      <w:r/>
      <w:bookmarkStart w:id="304" w:name="_Toc127151732"/>
      <w:r/>
      <w:bookmarkStart w:id="305" w:name="_Toc151193773"/>
      <w:r/>
      <w:bookmarkStart w:id="306" w:name="_Toc195842896"/>
      <w:r/>
      <w:bookmarkStart w:id="307" w:name="_Toc150480769"/>
      <w:r/>
      <w:bookmarkStart w:id="308" w:name="_Toc164229372"/>
      <w:r/>
      <w:bookmarkStart w:id="309" w:name="_Toc151193701"/>
      <w:r/>
      <w:bookmarkStart w:id="310" w:name="_Toc164608800"/>
      <w:r/>
      <w:bookmarkStart w:id="311" w:name="_Toc151190158"/>
      <w:r/>
      <w:bookmarkStart w:id="312" w:name="_Toc150774736"/>
      <w:r/>
      <w:bookmarkStart w:id="313" w:name="_Toc305158799"/>
      <w:r/>
      <w:bookmarkStart w:id="314" w:name="_Toc127161445"/>
      <w:r/>
      <w:bookmarkStart w:id="315" w:name="_Toc164351625"/>
      <w:r/>
      <w:bookmarkStart w:id="316" w:name="_Toc164608645"/>
      <w:r/>
      <w:bookmarkStart w:id="317" w:name="_Toc151193919"/>
      <w:r/>
      <w:bookmarkStart w:id="318" w:name="_Toc226965804"/>
      <w:r/>
      <w:bookmarkStart w:id="319" w:name="_Toc149720824"/>
      <w:r/>
      <w:bookmarkStart w:id="320" w:name="_Toc127151531"/>
      <w:r/>
      <w:bookmarkStart w:id="321" w:name="_Toc520356156"/>
      <w:r/>
      <w:bookmarkStart w:id="322" w:name="_Toc151193629"/>
      <w:r/>
      <w:bookmarkStart w:id="323" w:name="_Toc226965721"/>
      <w:r/>
      <w:bookmarkStart w:id="324" w:name="_Toc264969221"/>
      <w:r/>
      <w:bookmarkStart w:id="325" w:name="_Toc226337227"/>
      <w:r/>
      <w:bookmarkStart w:id="326" w:name="_Toc150509282"/>
      <w:r/>
      <w:bookmarkStart w:id="327" w:name="_Toc142311033"/>
      <w:r/>
      <w:bookmarkStart w:id="328" w:name="_Toc151193845"/>
      <w:r/>
      <w:bookmarkStart w:id="329" w:name="_Toc150774631"/>
      <w:r/>
      <w:bookmarkStart w:id="330" w:name="_Toc305158873"/>
      <w:r/>
      <w:bookmarkStart w:id="331" w:name="_Ref467306513"/>
      <w:r/>
      <w:bookmarkStart w:id="332" w:name="_Toc226309775"/>
      <w:r/>
      <w:bookmarkStart w:id="333" w:name="_Toc265228369"/>
      <w:r>
        <w:rPr>
          <w:rFonts w:hint="eastAsia" w:ascii="宋体" w:hAnsi="宋体" w:cs="宋体"/>
          <w:b/>
          <w:color w:val="000000"/>
          <w:sz w:val="24"/>
          <w:highlight w:val="none"/>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ascii="宋体" w:hAnsi="宋体" w:cs="宋体"/>
          <w:b/>
          <w:color w:val="000000"/>
          <w:sz w:val="24"/>
          <w:highlight w:val="none"/>
        </w:rPr>
      </w:r>
      <w:r/>
    </w:p>
    <w:p>
      <w:pPr>
        <w:pStyle w:val="1072"/>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4" w:name="_Toc150774632"/>
      <w:r/>
      <w:bookmarkStart w:id="335" w:name="_Toc150774737"/>
      <w:r/>
      <w:bookmarkStart w:id="336" w:name="_Toc520356157"/>
      <w:r/>
      <w:bookmarkStart w:id="337" w:name="_Toc164608801"/>
      <w:r/>
      <w:bookmarkStart w:id="338" w:name="_Toc151193774"/>
      <w:r/>
      <w:bookmarkStart w:id="339" w:name="_Toc164229373"/>
      <w:r/>
      <w:bookmarkStart w:id="340" w:name="_Toc150480770"/>
      <w:r/>
      <w:bookmarkStart w:id="341" w:name="_Toc149720825"/>
      <w:r/>
      <w:bookmarkStart w:id="342" w:name="_Toc142311034"/>
      <w:r/>
      <w:bookmarkStart w:id="343" w:name="_Toc150509283"/>
      <w:r/>
      <w:bookmarkStart w:id="344" w:name="_Toc151193630"/>
      <w:r/>
      <w:bookmarkStart w:id="345" w:name="_Toc305158874"/>
      <w:r/>
      <w:bookmarkStart w:id="346" w:name="_Toc164229227"/>
      <w:r/>
      <w:bookmarkStart w:id="347" w:name="_Toc127151532"/>
      <w:r/>
      <w:bookmarkStart w:id="348" w:name="_Toc127161446"/>
      <w:r/>
      <w:bookmarkStart w:id="349" w:name="_Toc226965722"/>
      <w:r/>
      <w:bookmarkStart w:id="350" w:name="_Toc151193920"/>
      <w:r/>
      <w:bookmarkStart w:id="351" w:name="_Toc226965805"/>
      <w:r/>
      <w:bookmarkStart w:id="352" w:name="_Toc264969222"/>
      <w:r/>
      <w:bookmarkStart w:id="353" w:name="_Toc164608646"/>
      <w:r/>
      <w:bookmarkStart w:id="354" w:name="_Toc151190159"/>
      <w:r/>
      <w:bookmarkStart w:id="355" w:name="_Toc305158800"/>
      <w:r/>
      <w:bookmarkStart w:id="356" w:name="_Toc195842897"/>
      <w:r/>
      <w:bookmarkStart w:id="357" w:name="_Toc127151733"/>
      <w:r/>
      <w:bookmarkStart w:id="358" w:name="_Toc226309776"/>
      <w:r/>
      <w:bookmarkStart w:id="359" w:name="_Toc164351626"/>
      <w:r/>
      <w:bookmarkStart w:id="360" w:name="_Toc265228370"/>
      <w:r/>
      <w:bookmarkStart w:id="361" w:name="_Toc226337228"/>
      <w:r/>
      <w:bookmarkStart w:id="362" w:name="_Toc151193702"/>
      <w:r/>
      <w:bookmarkStart w:id="363" w:name="_Toc151193846"/>
      <w:r>
        <w:rPr>
          <w:rFonts w:hint="eastAsia" w:ascii="宋体" w:hAnsi="宋体" w:cs="宋体"/>
          <w:b/>
          <w:color w:val="000000"/>
          <w:sz w:val="24"/>
          <w:highlight w:val="none"/>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4" w:name="_Toc151193631"/>
      <w:r/>
      <w:bookmarkStart w:id="365" w:name="_Toc164229374"/>
      <w:r/>
      <w:bookmarkStart w:id="366" w:name="_Toc150480771"/>
      <w:r/>
      <w:bookmarkStart w:id="367" w:name="_Toc127151734"/>
      <w:r/>
      <w:bookmarkStart w:id="368" w:name="_Toc264969223"/>
      <w:r/>
      <w:bookmarkStart w:id="369" w:name="_Toc149720826"/>
      <w:r/>
      <w:bookmarkStart w:id="370" w:name="_Toc520356158"/>
      <w:r/>
      <w:bookmarkStart w:id="371" w:name="_Toc305158801"/>
      <w:r/>
      <w:bookmarkStart w:id="372" w:name="_Toc226965723"/>
      <w:r/>
      <w:bookmarkStart w:id="373" w:name="_Toc127151533"/>
      <w:r/>
      <w:bookmarkStart w:id="374" w:name="_Toc142311035"/>
      <w:r/>
      <w:bookmarkStart w:id="375" w:name="_Toc151193775"/>
      <w:r/>
      <w:bookmarkStart w:id="376" w:name="_Toc164608647"/>
      <w:r/>
      <w:bookmarkStart w:id="377" w:name="_Toc151193703"/>
      <w:r/>
      <w:bookmarkStart w:id="378" w:name="_Toc164351627"/>
      <w:r/>
      <w:bookmarkStart w:id="379" w:name="_Toc195842898"/>
      <w:r/>
      <w:bookmarkStart w:id="380" w:name="_Toc151193921"/>
      <w:r/>
      <w:bookmarkStart w:id="381" w:name="_Toc150509284"/>
      <w:r/>
      <w:bookmarkStart w:id="382" w:name="_Toc305158875"/>
      <w:r/>
      <w:bookmarkStart w:id="383" w:name="_Toc226337229"/>
      <w:r/>
      <w:bookmarkStart w:id="384" w:name="_Toc150774633"/>
      <w:r/>
      <w:bookmarkStart w:id="385" w:name="_Toc164229228"/>
      <w:r/>
      <w:bookmarkStart w:id="386" w:name="_Toc226309777"/>
      <w:r/>
      <w:bookmarkStart w:id="387" w:name="_Toc265228371"/>
      <w:r/>
      <w:bookmarkStart w:id="388" w:name="_Toc150774738"/>
      <w:r/>
      <w:bookmarkStart w:id="389" w:name="_Toc164608802"/>
      <w:r/>
      <w:bookmarkStart w:id="390" w:name="_Toc151193847"/>
      <w:r/>
      <w:bookmarkStart w:id="391" w:name="_Toc226965806"/>
      <w:r/>
      <w:bookmarkStart w:id="392" w:name="_Toc127161447"/>
      <w:r/>
      <w:bookmarkStart w:id="393" w:name="_Toc151190160"/>
      <w:r>
        <w:rPr>
          <w:rFonts w:hint="eastAsia" w:ascii="宋体" w:hAnsi="宋体" w:cs="宋体"/>
          <w:b/>
          <w:color w:val="000000"/>
          <w:sz w:val="24"/>
          <w:highlight w:val="none"/>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4" w:name="_Toc305158876"/>
      <w:r/>
      <w:bookmarkStart w:id="395" w:name="_Toc150774739"/>
      <w:r/>
      <w:bookmarkStart w:id="396" w:name="_Toc142311036"/>
      <w:r/>
      <w:bookmarkStart w:id="397" w:name="_Toc150774634"/>
      <w:r/>
      <w:bookmarkStart w:id="398" w:name="_Toc150509285"/>
      <w:r/>
      <w:bookmarkStart w:id="399" w:name="_Toc226337230"/>
      <w:r/>
      <w:bookmarkStart w:id="400" w:name="_Toc264969224"/>
      <w:r/>
      <w:bookmarkStart w:id="401" w:name="_Toc151190161"/>
      <w:r/>
      <w:bookmarkStart w:id="402" w:name="_Toc226309778"/>
      <w:r/>
      <w:bookmarkStart w:id="403" w:name="_Toc195842899"/>
      <w:r/>
      <w:bookmarkStart w:id="404" w:name="_Toc151193922"/>
      <w:r/>
      <w:bookmarkStart w:id="405" w:name="_Toc150480772"/>
      <w:r/>
      <w:bookmarkStart w:id="406" w:name="_Toc226965807"/>
      <w:r/>
      <w:bookmarkStart w:id="407" w:name="_Toc520356159"/>
      <w:r/>
      <w:bookmarkStart w:id="408" w:name="_Toc151193632"/>
      <w:r/>
      <w:bookmarkStart w:id="409" w:name="_Toc265228372"/>
      <w:r/>
      <w:bookmarkStart w:id="410" w:name="_Toc305158802"/>
      <w:r/>
      <w:bookmarkStart w:id="411" w:name="_Toc127151534"/>
      <w:r/>
      <w:bookmarkStart w:id="412" w:name="_Toc226965724"/>
      <w:r/>
      <w:bookmarkStart w:id="413" w:name="_Toc151193848"/>
      <w:r/>
      <w:bookmarkStart w:id="414" w:name="_Toc151193776"/>
      <w:r/>
      <w:bookmarkStart w:id="415" w:name="_Toc151193704"/>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72"/>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74"/>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16" w:name="_Toc150774740"/>
      <w:r/>
      <w:bookmarkStart w:id="417" w:name="_Toc265228373"/>
      <w:r/>
      <w:bookmarkStart w:id="418" w:name="_Toc520356160"/>
      <w:r/>
      <w:bookmarkStart w:id="419" w:name="_Toc151193923"/>
      <w:r/>
      <w:bookmarkStart w:id="420" w:name="_Toc142311037"/>
      <w:r/>
      <w:bookmarkStart w:id="421" w:name="_Toc150509286"/>
      <w:r/>
      <w:bookmarkStart w:id="422" w:name="_Toc226965725"/>
      <w:r/>
      <w:bookmarkStart w:id="423" w:name="_Toc264969225"/>
      <w:r/>
      <w:bookmarkStart w:id="424" w:name="_Toc150480773"/>
      <w:r/>
      <w:bookmarkStart w:id="425" w:name="_Toc226309779"/>
      <w:r/>
      <w:bookmarkStart w:id="426" w:name="_Toc151193633"/>
      <w:r/>
      <w:bookmarkStart w:id="427" w:name="_Toc150774635"/>
      <w:r/>
      <w:bookmarkStart w:id="428" w:name="_Toc151193849"/>
      <w:r/>
      <w:bookmarkStart w:id="429" w:name="_Toc127161449"/>
      <w:r/>
      <w:bookmarkStart w:id="430" w:name="_Toc151190162"/>
      <w:r/>
      <w:bookmarkStart w:id="431" w:name="_Toc226337231"/>
      <w:r/>
      <w:bookmarkStart w:id="432" w:name="_Toc151193777"/>
      <w:r/>
      <w:bookmarkStart w:id="433" w:name="_Toc164351629"/>
      <w:r/>
      <w:bookmarkStart w:id="434" w:name="_Toc305158803"/>
      <w:r/>
      <w:bookmarkStart w:id="435" w:name="_Toc195842900"/>
      <w:r/>
      <w:bookmarkStart w:id="436" w:name="_Toc127151535"/>
      <w:r/>
      <w:bookmarkStart w:id="437" w:name="_Toc127151736"/>
      <w:r/>
      <w:bookmarkStart w:id="438" w:name="_Toc151193705"/>
      <w:r/>
      <w:bookmarkStart w:id="439" w:name="_Toc164608649"/>
      <w:r/>
      <w:bookmarkStart w:id="440" w:name="_Toc164229376"/>
      <w:r/>
      <w:bookmarkStart w:id="441" w:name="_Toc164229230"/>
      <w:r/>
      <w:bookmarkStart w:id="442" w:name="_Toc305158877"/>
      <w:r/>
      <w:bookmarkStart w:id="443" w:name="_Toc164608804"/>
      <w:r/>
      <w:bookmarkStart w:id="444" w:name="_Toc226965808"/>
      <w:r/>
      <w:bookmarkStart w:id="445" w:name="_Toc149720828"/>
      <w:r>
        <w:rPr>
          <w:rFonts w:hint="eastAsia" w:ascii="宋体" w:hAnsi="宋体" w:cs="宋体"/>
          <w:b/>
          <w:color w:val="000000"/>
          <w:sz w:val="24"/>
          <w:highlight w:val="none"/>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46" w:name="_Toc305158804"/>
      <w:r/>
      <w:bookmarkStart w:id="447" w:name="_Toc151193634"/>
      <w:r/>
      <w:bookmarkStart w:id="448" w:name="_Toc226337232"/>
      <w:r/>
      <w:bookmarkStart w:id="449" w:name="_Toc127161450"/>
      <w:r/>
      <w:bookmarkStart w:id="450" w:name="_Toc127151536"/>
      <w:r/>
      <w:bookmarkStart w:id="451" w:name="_Toc150509287"/>
      <w:r/>
      <w:bookmarkStart w:id="452" w:name="_Toc150774636"/>
      <w:r/>
      <w:bookmarkStart w:id="453" w:name="_Toc164229231"/>
      <w:r/>
      <w:bookmarkStart w:id="454" w:name="_Toc226309780"/>
      <w:r/>
      <w:bookmarkStart w:id="455" w:name="_Toc164608805"/>
      <w:r/>
      <w:bookmarkStart w:id="456" w:name="_Toc520356161"/>
      <w:r/>
      <w:bookmarkStart w:id="457" w:name="_Toc305158878"/>
      <w:r/>
      <w:bookmarkStart w:id="458" w:name="_Toc151190163"/>
      <w:r/>
      <w:bookmarkStart w:id="459" w:name="_Toc149720829"/>
      <w:r/>
      <w:bookmarkStart w:id="460" w:name="_Toc142311038"/>
      <w:r/>
      <w:bookmarkStart w:id="461" w:name="_Toc127151737"/>
      <w:r/>
      <w:bookmarkStart w:id="462" w:name="_Toc151193924"/>
      <w:r/>
      <w:bookmarkStart w:id="463" w:name="_Toc226965809"/>
      <w:r/>
      <w:bookmarkStart w:id="464" w:name="_Toc265228374"/>
      <w:r/>
      <w:bookmarkStart w:id="465" w:name="_Toc151193706"/>
      <w:r/>
      <w:bookmarkStart w:id="466" w:name="_Toc164608650"/>
      <w:r/>
      <w:bookmarkStart w:id="467" w:name="_Toc226965726"/>
      <w:r/>
      <w:bookmarkStart w:id="468" w:name="_Toc164229377"/>
      <w:r/>
      <w:bookmarkStart w:id="469" w:name="_Toc150480774"/>
      <w:r/>
      <w:bookmarkStart w:id="470" w:name="_Toc195842901"/>
      <w:r/>
      <w:bookmarkStart w:id="471" w:name="_Toc164351630"/>
      <w:r/>
      <w:bookmarkStart w:id="472" w:name="_Toc151193850"/>
      <w:r/>
      <w:bookmarkStart w:id="473" w:name="_Toc150774741"/>
      <w:r/>
      <w:bookmarkStart w:id="474" w:name="_Toc151193778"/>
      <w:r/>
      <w:bookmarkStart w:id="475" w:name="_Toc264969226"/>
      <w:r>
        <w:rPr>
          <w:rFonts w:hint="eastAsia" w:ascii="宋体" w:hAnsi="宋体" w:cs="宋体"/>
          <w:b/>
          <w:color w:val="000000"/>
          <w:sz w:val="24"/>
          <w:highlight w:val="none"/>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76" w:name="_Toc305158805"/>
      <w:r/>
      <w:bookmarkStart w:id="477" w:name="_Toc226337233"/>
      <w:r/>
      <w:bookmarkStart w:id="478" w:name="_Toc226965727"/>
      <w:r/>
      <w:bookmarkStart w:id="479" w:name="_Toc226965810"/>
      <w:r/>
      <w:bookmarkStart w:id="480" w:name="_Toc151193851"/>
      <w:r/>
      <w:bookmarkStart w:id="481" w:name="_Toc151193635"/>
      <w:r/>
      <w:bookmarkStart w:id="482" w:name="_Toc150480775"/>
      <w:r/>
      <w:bookmarkStart w:id="483" w:name="_Toc164608806"/>
      <w:r/>
      <w:bookmarkStart w:id="484" w:name="_Toc164229378"/>
      <w:r/>
      <w:bookmarkStart w:id="485" w:name="_Toc305158879"/>
      <w:r/>
      <w:bookmarkStart w:id="486" w:name="_Toc265228375"/>
      <w:r/>
      <w:bookmarkStart w:id="487" w:name="_Toc164608651"/>
      <w:r/>
      <w:bookmarkStart w:id="488" w:name="_Toc151190164"/>
      <w:r/>
      <w:bookmarkStart w:id="489" w:name="_Toc151193707"/>
      <w:r/>
      <w:bookmarkStart w:id="490" w:name="_Toc520356162"/>
      <w:r/>
      <w:bookmarkStart w:id="491" w:name="_Toc127151738"/>
      <w:r/>
      <w:bookmarkStart w:id="492" w:name="_Toc127151537"/>
      <w:r/>
      <w:bookmarkStart w:id="493" w:name="_Toc226309781"/>
      <w:r/>
      <w:bookmarkStart w:id="494" w:name="_Toc150509288"/>
      <w:r/>
      <w:bookmarkStart w:id="495" w:name="_Toc127161451"/>
      <w:r/>
      <w:bookmarkStart w:id="496" w:name="_Toc150774637"/>
      <w:r/>
      <w:bookmarkStart w:id="497" w:name="_Toc142311039"/>
      <w:r/>
      <w:bookmarkStart w:id="498" w:name="_Toc151193779"/>
      <w:r/>
      <w:bookmarkStart w:id="499" w:name="_Toc164229232"/>
      <w:r/>
      <w:bookmarkStart w:id="500" w:name="_Toc164351631"/>
      <w:r/>
      <w:bookmarkStart w:id="501" w:name="_Toc195842902"/>
      <w:r/>
      <w:bookmarkStart w:id="502" w:name="_Toc149720830"/>
      <w:r/>
      <w:bookmarkStart w:id="503" w:name="_Toc151193925"/>
      <w:r/>
      <w:bookmarkStart w:id="504" w:name="_Toc264969227"/>
      <w:r/>
      <w:bookmarkStart w:id="505" w:name="_Toc150774742"/>
      <w:r>
        <w:rPr>
          <w:rFonts w:hint="eastAsia" w:ascii="宋体" w:hAnsi="宋体" w:cs="宋体"/>
          <w:b/>
          <w:color w:val="000000"/>
          <w:sz w:val="24"/>
          <w:highlight w:val="none"/>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06" w:name="_Toc150774743"/>
      <w:r/>
      <w:bookmarkStart w:id="507" w:name="_Toc151193852"/>
      <w:r/>
      <w:bookmarkStart w:id="508" w:name="_Toc150509289"/>
      <w:r/>
      <w:bookmarkStart w:id="509" w:name="_Toc195842903"/>
      <w:r/>
      <w:bookmarkStart w:id="510" w:name="_Toc142311040"/>
      <w:r/>
      <w:bookmarkStart w:id="511" w:name="_Toc151193780"/>
      <w:r/>
      <w:bookmarkStart w:id="512" w:name="_Toc226309782"/>
      <w:r/>
      <w:bookmarkStart w:id="513" w:name="_Toc226965728"/>
      <w:r/>
      <w:bookmarkStart w:id="514" w:name="_Toc127151538"/>
      <w:r/>
      <w:bookmarkStart w:id="515" w:name="_Toc226337234"/>
      <w:r/>
      <w:bookmarkStart w:id="516" w:name="_Toc264969228"/>
      <w:r/>
      <w:bookmarkStart w:id="517" w:name="_Toc150774638"/>
      <w:r/>
      <w:bookmarkStart w:id="518" w:name="_Toc265228376"/>
      <w:r/>
      <w:bookmarkStart w:id="519" w:name="_Toc151193708"/>
      <w:r/>
      <w:bookmarkStart w:id="520" w:name="_Toc305158880"/>
      <w:r/>
      <w:bookmarkStart w:id="521" w:name="_Toc151193636"/>
      <w:r/>
      <w:bookmarkStart w:id="522" w:name="_Toc151193926"/>
      <w:r/>
      <w:bookmarkStart w:id="523" w:name="_Toc150480776"/>
      <w:r/>
      <w:bookmarkStart w:id="524" w:name="_Toc520356163"/>
      <w:r/>
      <w:bookmarkStart w:id="525" w:name="_Toc305158806"/>
      <w:r/>
      <w:bookmarkStart w:id="526" w:name="_Toc226965811"/>
      <w:r/>
      <w:bookmarkStart w:id="527" w:name="_Toc151190165"/>
      <w:r>
        <w:rPr>
          <w:rFonts w:hint="eastAsia" w:ascii="宋体" w:hAnsi="宋体" w:eastAsia="宋体" w:cs="宋体"/>
          <w:color w:val="000000"/>
          <w:sz w:val="28"/>
          <w:highlight w:val="none"/>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28" w:name="_Toc151193709"/>
      <w:r/>
      <w:bookmarkStart w:id="529" w:name="_Toc226965729"/>
      <w:r/>
      <w:bookmarkStart w:id="530" w:name="_Toc151190166"/>
      <w:r/>
      <w:bookmarkStart w:id="531" w:name="_Toc127151539"/>
      <w:r/>
      <w:bookmarkStart w:id="532" w:name="_Toc164229234"/>
      <w:r/>
      <w:bookmarkStart w:id="533" w:name="_Toc305158881"/>
      <w:r/>
      <w:bookmarkStart w:id="534" w:name="_Toc150480777"/>
      <w:r/>
      <w:bookmarkStart w:id="535" w:name="_Toc164351633"/>
      <w:r/>
      <w:bookmarkStart w:id="536" w:name="_Toc226337235"/>
      <w:r/>
      <w:bookmarkStart w:id="537" w:name="_Toc151193781"/>
      <w:r/>
      <w:bookmarkStart w:id="538" w:name="_Toc164608808"/>
      <w:r/>
      <w:bookmarkStart w:id="539" w:name="_Toc520356164"/>
      <w:r/>
      <w:bookmarkStart w:id="540" w:name="_Toc151193637"/>
      <w:r/>
      <w:bookmarkStart w:id="541" w:name="_Toc151193927"/>
      <w:r/>
      <w:bookmarkStart w:id="542" w:name="_Toc127161453"/>
      <w:r/>
      <w:bookmarkStart w:id="543" w:name="_Toc127151740"/>
      <w:r/>
      <w:bookmarkStart w:id="544" w:name="_Toc150509290"/>
      <w:r/>
      <w:bookmarkStart w:id="545" w:name="_Toc151193853"/>
      <w:r/>
      <w:bookmarkStart w:id="546" w:name="_Toc226965812"/>
      <w:r/>
      <w:bookmarkStart w:id="547" w:name="_Toc265228377"/>
      <w:r/>
      <w:bookmarkStart w:id="548" w:name="_Toc264969229"/>
      <w:r/>
      <w:bookmarkStart w:id="549" w:name="_Toc195842904"/>
      <w:r/>
      <w:bookmarkStart w:id="550" w:name="_Toc164229380"/>
      <w:r/>
      <w:bookmarkStart w:id="551" w:name="_Toc150774639"/>
      <w:r/>
      <w:bookmarkStart w:id="552" w:name="_Toc305158807"/>
      <w:r/>
      <w:bookmarkStart w:id="553" w:name="_Toc226309783"/>
      <w:r/>
      <w:bookmarkStart w:id="554" w:name="_Toc164608653"/>
      <w:r/>
      <w:bookmarkStart w:id="555" w:name="_Toc150774744"/>
      <w:r/>
      <w:bookmarkStart w:id="556" w:name="_Toc142311041"/>
      <w:r/>
      <w:bookmarkStart w:id="557" w:name="_Toc149720832"/>
      <w:r>
        <w:rPr>
          <w:rFonts w:hint="eastAsia" w:ascii="宋体" w:hAnsi="宋体" w:cs="宋体"/>
          <w:b/>
          <w:color w:val="000000"/>
          <w:sz w:val="24"/>
          <w:highlight w:val="none"/>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58"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72"/>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72"/>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72"/>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58"/>
      <w:r/>
      <w:bookmarkStart w:id="559" w:name="_Toc164608654"/>
      <w:r/>
      <w:bookmarkStart w:id="560" w:name="_Toc127151540"/>
      <w:r/>
      <w:bookmarkStart w:id="561" w:name="_Toc226965813"/>
      <w:r/>
      <w:bookmarkStart w:id="562" w:name="_Toc151193782"/>
      <w:r/>
      <w:bookmarkStart w:id="563" w:name="_Toc151193710"/>
      <w:r/>
      <w:bookmarkStart w:id="564" w:name="_Toc305158808"/>
      <w:r/>
      <w:bookmarkStart w:id="565" w:name="_Toc226965730"/>
      <w:r/>
      <w:bookmarkStart w:id="566" w:name="_Toc164608809"/>
      <w:r/>
      <w:bookmarkStart w:id="567" w:name="_Toc226309784"/>
      <w:r/>
      <w:bookmarkStart w:id="568" w:name="_Toc151193854"/>
      <w:r/>
      <w:bookmarkStart w:id="569" w:name="_Toc265228378"/>
      <w:r/>
      <w:bookmarkStart w:id="570" w:name="_Toc226337236"/>
      <w:r/>
      <w:bookmarkStart w:id="571" w:name="_Toc164351634"/>
      <w:r/>
      <w:bookmarkStart w:id="572" w:name="_Toc305158882"/>
      <w:r/>
      <w:bookmarkStart w:id="573" w:name="_Toc150774745"/>
      <w:r/>
      <w:bookmarkStart w:id="574" w:name="_Toc151193638"/>
      <w:r/>
      <w:bookmarkStart w:id="575" w:name="_Toc151190167"/>
      <w:r/>
      <w:bookmarkStart w:id="576" w:name="_Toc195842905"/>
      <w:r/>
      <w:bookmarkStart w:id="577" w:name="_Toc264969230"/>
      <w:r/>
      <w:bookmarkStart w:id="578" w:name="_Toc150480778"/>
      <w:r/>
      <w:bookmarkStart w:id="579" w:name="_Toc149720833"/>
      <w:r/>
      <w:bookmarkStart w:id="580" w:name="_Toc142311042"/>
      <w:r/>
      <w:bookmarkStart w:id="581" w:name="_Toc127151741"/>
      <w:r/>
      <w:bookmarkStart w:id="582" w:name="_Toc127161454"/>
      <w:r/>
      <w:bookmarkStart w:id="583" w:name="_Toc150509291"/>
      <w:r/>
      <w:bookmarkStart w:id="584" w:name="_Toc164229381"/>
      <w:r/>
      <w:bookmarkStart w:id="585" w:name="_Toc150774640"/>
      <w:r/>
      <w:bookmarkStart w:id="586" w:name="_Toc164229235"/>
      <w:r/>
      <w:bookmarkStart w:id="587" w:name="_Toc151193928"/>
      <w:r>
        <w:rPr>
          <w:rFonts w:hint="eastAsia" w:ascii="宋体" w:hAnsi="宋体" w:cs="宋体"/>
          <w:b/>
          <w:color w:val="000000"/>
          <w:sz w:val="24"/>
          <w:highlight w:val="none"/>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88" w:name="_Toc520356166"/>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8"/>
      <w:r/>
      <w:bookmarkStart w:id="589" w:name="_Toc520356169"/>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72"/>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4"/>
        <w:ind w:firstLine="562"/>
        <w:spacing w:before="0" w:line="360" w:lineRule="auto"/>
        <w:rPr>
          <w:rFonts w:hint="eastAsia" w:ascii="宋体" w:hAnsi="宋体" w:eastAsia="宋体" w:cs="宋体"/>
          <w:color w:val="000000"/>
          <w:sz w:val="28"/>
          <w:highlight w:val="none"/>
        </w:rPr>
      </w:pPr>
      <w:r/>
      <w:bookmarkStart w:id="590" w:name="_Toc226337241"/>
      <w:r/>
      <w:bookmarkStart w:id="591" w:name="_Toc264969235"/>
      <w:r/>
      <w:bookmarkStart w:id="592" w:name="_Toc226309789"/>
      <w:r/>
      <w:bookmarkStart w:id="593" w:name="_Toc150774645"/>
      <w:r/>
      <w:bookmarkStart w:id="594" w:name="_Toc265228383"/>
      <w:r/>
      <w:bookmarkStart w:id="595" w:name="_Toc150774750"/>
      <w:r/>
      <w:bookmarkStart w:id="596" w:name="_Toc305158813"/>
      <w:r/>
      <w:bookmarkStart w:id="597" w:name="_Toc127151545"/>
      <w:r/>
      <w:bookmarkStart w:id="598" w:name="_Toc305158887"/>
      <w:r/>
      <w:bookmarkStart w:id="599" w:name="_Toc226965818"/>
      <w:r/>
      <w:bookmarkStart w:id="600" w:name="_Toc142311047"/>
      <w:r/>
      <w:bookmarkStart w:id="601" w:name="_Toc151193715"/>
      <w:r/>
      <w:bookmarkStart w:id="602" w:name="_Toc150480783"/>
      <w:r/>
      <w:bookmarkStart w:id="603" w:name="_Toc226965735"/>
      <w:r/>
      <w:bookmarkStart w:id="604" w:name="_Toc151193859"/>
      <w:r/>
      <w:bookmarkStart w:id="605" w:name="_Toc150509296"/>
      <w:r/>
      <w:bookmarkStart w:id="606" w:name="_Toc151193787"/>
      <w:r/>
      <w:bookmarkStart w:id="607" w:name="_Toc151193933"/>
      <w:r/>
      <w:bookmarkStart w:id="608" w:name="_Toc151193643"/>
      <w:r/>
      <w:bookmarkStart w:id="609" w:name="_Toc195842910"/>
      <w:r/>
      <w:bookmarkStart w:id="610" w:name="_Toc151190172"/>
      <w:r>
        <w:rPr>
          <w:rFonts w:hint="eastAsia" w:ascii="宋体" w:hAnsi="宋体" w:eastAsia="宋体" w:cs="宋体"/>
          <w:color w:val="000000"/>
          <w:sz w:val="28"/>
          <w:highlight w:val="none"/>
        </w:rPr>
        <w:t xml:space="preserve">六   </w:t>
      </w:r>
      <w:bookmarkEnd w:id="589"/>
      <w:r>
        <w:rPr>
          <w:rFonts w:hint="eastAsia" w:ascii="宋体" w:hAnsi="宋体" w:eastAsia="宋体" w:cs="宋体"/>
          <w:color w:val="000000"/>
          <w:sz w:val="28"/>
          <w:highlight w:val="none"/>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226965820"/>
      <w:r/>
      <w:bookmarkStart w:id="612" w:name="_Toc164229242"/>
      <w:r/>
      <w:bookmarkStart w:id="613" w:name="_Toc150509298"/>
      <w:r/>
      <w:bookmarkStart w:id="614" w:name="_Toc226965737"/>
      <w:r/>
      <w:bookmarkStart w:id="615" w:name="_Toc150774752"/>
      <w:r/>
      <w:bookmarkStart w:id="616" w:name="_Toc151193935"/>
      <w:r/>
      <w:bookmarkStart w:id="617" w:name="_Toc151193717"/>
      <w:r/>
      <w:bookmarkStart w:id="618" w:name="_Toc150774647"/>
      <w:r/>
      <w:bookmarkStart w:id="619" w:name="_Toc264969237"/>
      <w:r/>
      <w:bookmarkStart w:id="620" w:name="_Toc226337243"/>
      <w:r/>
      <w:bookmarkStart w:id="621" w:name="_Toc151193645"/>
      <w:r/>
      <w:bookmarkStart w:id="622" w:name="_Toc305158889"/>
      <w:r/>
      <w:bookmarkStart w:id="623" w:name="_Toc151193789"/>
      <w:r/>
      <w:bookmarkStart w:id="624" w:name="_Toc142311049"/>
      <w:r/>
      <w:bookmarkStart w:id="625" w:name="_Toc164229388"/>
      <w:r/>
      <w:bookmarkStart w:id="626" w:name="_Toc127151748"/>
      <w:r/>
      <w:bookmarkStart w:id="627" w:name="_Toc305158815"/>
      <w:r/>
      <w:bookmarkStart w:id="628" w:name="_Toc265228385"/>
      <w:r/>
      <w:bookmarkStart w:id="629" w:name="_Toc127151547"/>
      <w:r/>
      <w:bookmarkStart w:id="630" w:name="_Toc195842912"/>
      <w:r/>
      <w:bookmarkStart w:id="631" w:name="_Toc151193861"/>
      <w:r/>
      <w:bookmarkStart w:id="632" w:name="_Toc149720840"/>
      <w:r/>
      <w:bookmarkStart w:id="633" w:name="_Toc164608661"/>
      <w:r/>
      <w:bookmarkStart w:id="634" w:name="_Toc226309791"/>
      <w:r/>
      <w:bookmarkStart w:id="635" w:name="_Toc127161461"/>
      <w:r/>
      <w:bookmarkStart w:id="636" w:name="_Toc151190174"/>
      <w:r/>
      <w:bookmarkStart w:id="637" w:name="_Toc164351641"/>
      <w:r/>
      <w:bookmarkStart w:id="638" w:name="_Toc164608816"/>
      <w:r/>
      <w:bookmarkStart w:id="639" w:name="_Toc150480785"/>
      <w:r>
        <w:rPr>
          <w:rFonts w:hint="eastAsia" w:ascii="宋体" w:hAnsi="宋体" w:eastAsia="宋体" w:cs="宋体"/>
          <w:color w:val="000000"/>
          <w:sz w:val="28"/>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0" w:name="_Toc149720842"/>
      <w:r/>
      <w:bookmarkStart w:id="641" w:name="_Toc127151549"/>
      <w:r/>
      <w:bookmarkStart w:id="642" w:name="_Toc265228387"/>
      <w:r/>
      <w:bookmarkStart w:id="643" w:name="_Toc305158817"/>
      <w:r/>
      <w:bookmarkStart w:id="644" w:name="_Toc150509300"/>
      <w:r/>
      <w:bookmarkStart w:id="645" w:name="_Toc195842914"/>
      <w:r/>
      <w:bookmarkStart w:id="646" w:name="_Toc150774649"/>
      <w:r/>
      <w:bookmarkStart w:id="647" w:name="_Toc127161463"/>
      <w:r/>
      <w:bookmarkStart w:id="648" w:name="_Ref467306425"/>
      <w:r/>
      <w:bookmarkStart w:id="649" w:name="_Toc520356176"/>
      <w:r/>
      <w:bookmarkStart w:id="650" w:name="_Ref467307090"/>
      <w:r/>
      <w:bookmarkStart w:id="651" w:name="_Toc150480787"/>
      <w:r/>
      <w:bookmarkStart w:id="652" w:name="_Toc164608818"/>
      <w:r/>
      <w:bookmarkStart w:id="653" w:name="_Toc164229390"/>
      <w:r/>
      <w:bookmarkStart w:id="654" w:name="_Toc151190176"/>
      <w:r/>
      <w:bookmarkStart w:id="655" w:name="_Toc151193937"/>
      <w:r/>
      <w:bookmarkStart w:id="656" w:name="_Toc164229244"/>
      <w:r/>
      <w:bookmarkStart w:id="657" w:name="_Toc305158891"/>
      <w:r/>
      <w:bookmarkStart w:id="658" w:name="_Toc226309793"/>
      <w:r/>
      <w:bookmarkStart w:id="659" w:name="_Toc151193719"/>
      <w:r/>
      <w:bookmarkStart w:id="660" w:name="_Toc226337245"/>
      <w:r/>
      <w:bookmarkStart w:id="661" w:name="_Toc127151750"/>
      <w:r/>
      <w:bookmarkStart w:id="662" w:name="_Toc164608663"/>
      <w:r/>
      <w:bookmarkStart w:id="663" w:name="_Toc151193647"/>
      <w:r/>
      <w:bookmarkStart w:id="664" w:name="_Toc151193863"/>
      <w:r/>
      <w:bookmarkStart w:id="665" w:name="_Toc226965822"/>
      <w:r/>
      <w:bookmarkStart w:id="666" w:name="_Toc164351643"/>
      <w:r/>
      <w:bookmarkStart w:id="667" w:name="_Toc151193791"/>
      <w:r/>
      <w:bookmarkStart w:id="668" w:name="_Toc150774754"/>
      <w:r/>
      <w:bookmarkStart w:id="669" w:name="_Toc226965739"/>
      <w:r/>
      <w:bookmarkStart w:id="670" w:name="_Toc142311051"/>
      <w:r/>
      <w:bookmarkStart w:id="671" w:name="_Toc264969239"/>
      <w:r>
        <w:rPr>
          <w:rFonts w:hint="eastAsia" w:ascii="宋体" w:hAnsi="宋体" w:cs="宋体"/>
          <w:b/>
          <w:color w:val="000000"/>
          <w:sz w:val="24"/>
          <w:highlight w:val="none"/>
        </w:rPr>
        <w:t xml:space="preserve">中标公告与中标通知书</w:t>
      </w:r>
      <w:bookmarkEnd w:id="643"/>
      <w:r/>
      <w:bookmarkEnd w:id="657"/>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72"/>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95842915"/>
      <w:r/>
      <w:bookmarkStart w:id="673" w:name="_Toc226309794"/>
      <w:r/>
      <w:bookmarkStart w:id="674" w:name="_Toc265228388"/>
      <w:r/>
      <w:bookmarkStart w:id="675" w:name="_Toc149720843"/>
      <w:r/>
      <w:bookmarkStart w:id="676" w:name="_Toc127151751"/>
      <w:r/>
      <w:bookmarkStart w:id="677" w:name="_Toc164229245"/>
      <w:r/>
      <w:bookmarkStart w:id="678" w:name="_Ref467306377"/>
      <w:r/>
      <w:bookmarkStart w:id="679" w:name="_Toc305158892"/>
      <w:r/>
      <w:bookmarkStart w:id="680" w:name="_Toc164608819"/>
      <w:r/>
      <w:bookmarkStart w:id="681" w:name="_Toc150774650"/>
      <w:r/>
      <w:bookmarkStart w:id="682" w:name="_Toc164229391"/>
      <w:r/>
      <w:bookmarkStart w:id="683" w:name="_Toc264969240"/>
      <w:r/>
      <w:bookmarkStart w:id="684" w:name="_Toc150509301"/>
      <w:r/>
      <w:bookmarkStart w:id="685" w:name="_Toc520356175"/>
      <w:r/>
      <w:bookmarkStart w:id="686" w:name="_Ref467307204"/>
      <w:r/>
      <w:bookmarkStart w:id="687" w:name="_Toc164351644"/>
      <w:r/>
      <w:bookmarkStart w:id="688" w:name="_Toc226337246"/>
      <w:r/>
      <w:bookmarkStart w:id="689" w:name="_Toc151190177"/>
      <w:r/>
      <w:bookmarkStart w:id="690" w:name="_Toc127161464"/>
      <w:r/>
      <w:bookmarkStart w:id="691" w:name="_Toc305158818"/>
      <w:r/>
      <w:bookmarkStart w:id="692" w:name="_Toc151193720"/>
      <w:r/>
      <w:bookmarkStart w:id="693" w:name="_Toc226965823"/>
      <w:r/>
      <w:bookmarkStart w:id="694" w:name="_Toc151193648"/>
      <w:r/>
      <w:bookmarkStart w:id="695" w:name="_Toc164608664"/>
      <w:r/>
      <w:bookmarkStart w:id="696" w:name="_Ref467306978"/>
      <w:r/>
      <w:bookmarkStart w:id="697" w:name="_Toc151193864"/>
      <w:r/>
      <w:bookmarkStart w:id="698" w:name="_Toc151193792"/>
      <w:r/>
      <w:bookmarkStart w:id="699" w:name="_Toc150480788"/>
      <w:r/>
      <w:bookmarkStart w:id="700" w:name="_Toc127151550"/>
      <w:r/>
      <w:bookmarkStart w:id="701" w:name="_Toc226965740"/>
      <w:r/>
      <w:bookmarkStart w:id="702" w:name="_Toc142311052"/>
      <w:r/>
      <w:bookmarkStart w:id="703" w:name="_Toc151193938"/>
      <w:r/>
      <w:bookmarkStart w:id="704" w:name="_Ref467307062"/>
      <w:r/>
      <w:bookmarkStart w:id="705" w:name="_Toc150774755"/>
      <w:r>
        <w:rPr>
          <w:rFonts w:hint="eastAsia" w:ascii="宋体" w:hAnsi="宋体" w:cs="宋体"/>
          <w:b/>
          <w:color w:val="000000"/>
          <w:sz w:val="24"/>
          <w:highlight w:val="none"/>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8"/>
      <w:r/>
      <w:bookmarkEnd w:id="649"/>
      <w:r/>
      <w:bookmarkEnd w:id="650"/>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72"/>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48"/>
          <w:rFonts w:hint="eastAsia" w:ascii="宋体" w:hAnsi="宋体" w:cs="宋体"/>
          <w:color w:val="000000"/>
          <w:highlight w:val="none"/>
        </w:rPr>
        <w:t xml:space="preserve">http://gk</w:t>
      </w:r>
      <w:bookmarkStart w:id="706" w:name="_Hlt100654014"/>
      <w:r>
        <w:rPr>
          <w:rStyle w:val="1148"/>
          <w:rFonts w:hint="eastAsia" w:ascii="宋体" w:hAnsi="宋体" w:cs="宋体"/>
          <w:color w:val="000000"/>
          <w:highlight w:val="none"/>
        </w:rPr>
        <w:t xml:space="preserve">s</w:t>
      </w:r>
      <w:bookmarkEnd w:id="706"/>
      <w:r>
        <w:rPr>
          <w:rStyle w:val="1148"/>
          <w:rFonts w:hint="eastAsia" w:ascii="宋体" w:hAnsi="宋体" w:cs="宋体"/>
          <w:color w:val="000000"/>
          <w:highlight w:val="none"/>
        </w:rPr>
        <w:t xml:space="preserve">.m</w:t>
      </w:r>
      <w:bookmarkStart w:id="707" w:name="_Hlt100653993"/>
      <w:r/>
      <w:bookmarkStart w:id="708" w:name="_Hlt100653994"/>
      <w:r>
        <w:rPr>
          <w:rStyle w:val="1148"/>
          <w:rFonts w:hint="eastAsia" w:ascii="宋体" w:hAnsi="宋体" w:cs="宋体"/>
          <w:color w:val="000000"/>
          <w:highlight w:val="none"/>
        </w:rPr>
        <w:t xml:space="preserve">o</w:t>
      </w:r>
      <w:bookmarkEnd w:id="707"/>
      <w:r/>
      <w:bookmarkEnd w:id="708"/>
      <w:r>
        <w:rPr>
          <w:rStyle w:val="1148"/>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72"/>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72"/>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72"/>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72"/>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09" w:name="_Toc226337250"/>
      <w:r/>
      <w:bookmarkStart w:id="710" w:name="_Toc150774759"/>
      <w:r/>
      <w:bookmarkStart w:id="711" w:name="_Toc353825544"/>
      <w:r/>
      <w:bookmarkStart w:id="712" w:name="_Toc264969244"/>
      <w:r/>
      <w:bookmarkStart w:id="713" w:name="_Toc150480792"/>
      <w:r/>
      <w:bookmarkStart w:id="714" w:name="_Toc127151554"/>
      <w:r/>
      <w:bookmarkStart w:id="715" w:name="_Toc353873664"/>
      <w:r/>
      <w:bookmarkStart w:id="716" w:name="_Toc142311056"/>
      <w:r/>
      <w:bookmarkStart w:id="717" w:name="_Toc353873934"/>
      <w:r/>
      <w:bookmarkStart w:id="718" w:name="_Toc265228392"/>
      <w:r/>
      <w:bookmarkStart w:id="719" w:name="_Toc305158896"/>
      <w:r/>
      <w:bookmarkStart w:id="720" w:name="_Toc226965827"/>
      <w:r/>
      <w:bookmarkStart w:id="721" w:name="_Toc305158822"/>
      <w:r>
        <w:rPr>
          <w:rFonts w:hint="eastAsia" w:ascii="宋体" w:hAnsi="宋体" w:cs="宋体"/>
          <w:color w:val="000000"/>
          <w:sz w:val="24"/>
          <w:highlight w:val="none"/>
        </w:rPr>
        <w:br w:type="page" w:clear="all"/>
      </w:r>
      <w:bookmarkStart w:id="722" w:name="_Toc99301421"/>
      <w:r>
        <w:rPr>
          <w:rFonts w:hint="eastAsia" w:ascii="宋体" w:hAnsi="宋体" w:cs="宋体"/>
          <w:b/>
          <w:color w:val="000000"/>
          <w:sz w:val="36"/>
          <w:szCs w:val="36"/>
          <w:highlight w:val="none"/>
        </w:rPr>
        <w:t xml:space="preserve">第三章   </w:t>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rPr>
          <w:rFonts w:hint="eastAsia" w:ascii="宋体" w:hAnsi="宋体" w:cs="宋体"/>
          <w:b/>
          <w:color w:val="000000"/>
          <w:sz w:val="36"/>
          <w:szCs w:val="36"/>
          <w:highlight w:val="none"/>
        </w:rPr>
        <w:t xml:space="preserve">资格审查</w:t>
      </w:r>
      <w:bookmarkEnd w:id="722"/>
      <w:r/>
      <w:bookmarkStart w:id="723" w:name="_Toc487900382"/>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4" w:name="_Toc99301422"/>
      <w:r>
        <w:rPr>
          <w:rFonts w:hint="eastAsia" w:ascii="宋体" w:hAnsi="宋体" w:cs="宋体"/>
          <w:b/>
          <w:color w:val="000000"/>
          <w:sz w:val="24"/>
          <w:highlight w:val="none"/>
        </w:rPr>
        <w:t xml:space="preserve">一、资格审查程序</w:t>
      </w:r>
      <w:bookmarkEnd w:id="724"/>
      <w:r>
        <w:rPr>
          <w:rFonts w:hint="eastAsia" w:ascii="宋体" w:hAnsi="宋体" w:cs="宋体"/>
          <w:b/>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72"/>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bookmarkStart w:id="725" w:name="_Hlt487972895"/>
            <w:r/>
            <w:bookmarkEnd w:id="72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72"/>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72"/>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72"/>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w:t>
            </w:r>
            <w:r>
              <w:rPr>
                <w:rFonts w:hint="eastAsia" w:ascii="宋体" w:hAnsi="宋体" w:cs="宋体"/>
                <w:color w:val="000000"/>
                <w:sz w:val="24"/>
                <w:highlight w:val="none"/>
              </w:rPr>
            </w:r>
            <w:r/>
          </w:p>
        </w:tc>
        <w:tc>
          <w:tcPr>
            <w:tcW w:w="1066"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72"/>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72"/>
        <w:jc w:val="left"/>
        <w:widowControl/>
        <w:rPr>
          <w:rFonts w:hint="eastAsia" w:ascii="宋体" w:hAnsi="宋体" w:cs="宋体"/>
          <w:color w:val="000000"/>
          <w:sz w:val="24"/>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127151779"/>
      <w:r/>
      <w:bookmarkStart w:id="728" w:name="_Toc353873940"/>
      <w:r/>
      <w:bookmarkStart w:id="729" w:name="_Toc353825550"/>
      <w:r/>
      <w:bookmarkStart w:id="730"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b/>
          <w:color w:val="000000"/>
          <w:sz w:val="36"/>
          <w:szCs w:val="36"/>
          <w:highlight w:val="none"/>
        </w:rPr>
        <w:outlineLvl w:val="0"/>
      </w:pPr>
      <w:r/>
      <w:bookmarkStart w:id="731" w:name="_Toc99301423"/>
      <w:r>
        <w:rPr>
          <w:rFonts w:hint="eastAsia" w:ascii="宋体" w:hAnsi="宋体" w:cs="宋体"/>
          <w:b/>
          <w:color w:val="000000"/>
          <w:sz w:val="36"/>
          <w:szCs w:val="36"/>
          <w:highlight w:val="none"/>
        </w:rPr>
        <w:t xml:space="preserve">第四章   </w:t>
      </w:r>
      <w:bookmarkEnd w:id="726"/>
      <w:r/>
      <w:bookmarkEnd w:id="727"/>
      <w:r/>
      <w:bookmarkEnd w:id="728"/>
      <w:r/>
      <w:bookmarkEnd w:id="729"/>
      <w:r/>
      <w:bookmarkEnd w:id="730"/>
      <w:r/>
      <w:bookmarkStart w:id="732" w:name="_Hlt164229061"/>
      <w:r/>
      <w:bookmarkEnd w:id="732"/>
      <w:r>
        <w:rPr>
          <w:rFonts w:hint="eastAsia" w:ascii="宋体" w:hAnsi="宋体" w:cs="宋体"/>
          <w:b/>
          <w:color w:val="000000"/>
          <w:sz w:val="36"/>
          <w:szCs w:val="36"/>
          <w:highlight w:val="none"/>
        </w:rPr>
        <w:t xml:space="preserve">评标程序、评标方法和评标标准</w:t>
      </w:r>
      <w:bookmarkEnd w:id="731"/>
      <w:r>
        <w:rPr>
          <w:rFonts w:hint="eastAsia" w:ascii="宋体" w:hAnsi="宋体" w:cs="宋体"/>
          <w:b/>
          <w:color w:val="000000"/>
          <w:sz w:val="36"/>
          <w:szCs w:val="36"/>
          <w:highlight w:val="none"/>
        </w:rPr>
      </w:r>
      <w:r/>
    </w:p>
    <w:p>
      <w:pPr>
        <w:pStyle w:val="1072"/>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72"/>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3" w:name="_Toc127151541"/>
      <w:r/>
      <w:bookmarkStart w:id="734" w:name="_Toc151193711"/>
      <w:r/>
      <w:bookmarkStart w:id="735" w:name="_Toc226337237"/>
      <w:r/>
      <w:bookmarkStart w:id="736" w:name="_Toc151193783"/>
      <w:r/>
      <w:bookmarkStart w:id="737" w:name="_Toc226965814"/>
      <w:r/>
      <w:bookmarkStart w:id="738" w:name="_Toc305158809"/>
      <w:r/>
      <w:bookmarkStart w:id="739" w:name="_Toc151193639"/>
      <w:r/>
      <w:bookmarkStart w:id="740" w:name="_Toc164608810"/>
      <w:r/>
      <w:bookmarkStart w:id="741" w:name="_Toc164608655"/>
      <w:r/>
      <w:bookmarkStart w:id="742" w:name="_Toc151193855"/>
      <w:r/>
      <w:bookmarkStart w:id="743" w:name="_Toc264969231"/>
      <w:r/>
      <w:bookmarkStart w:id="744" w:name="_Toc226309785"/>
      <w:r/>
      <w:bookmarkStart w:id="745" w:name="_Toc150774746"/>
      <w:r/>
      <w:bookmarkStart w:id="746" w:name="_Toc142311043"/>
      <w:r/>
      <w:bookmarkStart w:id="747" w:name="_Toc226965731"/>
      <w:r/>
      <w:bookmarkStart w:id="748" w:name="_Toc164229236"/>
      <w:r/>
      <w:bookmarkStart w:id="749" w:name="_Toc305158883"/>
      <w:r/>
      <w:bookmarkStart w:id="750" w:name="_Toc127161455"/>
      <w:r/>
      <w:bookmarkStart w:id="751" w:name="_Toc164351635"/>
      <w:r/>
      <w:bookmarkStart w:id="752" w:name="_Toc151193929"/>
      <w:r/>
      <w:bookmarkStart w:id="753" w:name="_Toc149720834"/>
      <w:r/>
      <w:bookmarkStart w:id="754" w:name="_Toc150509292"/>
      <w:r/>
      <w:bookmarkStart w:id="755" w:name="_Toc164229382"/>
      <w:r/>
      <w:bookmarkStart w:id="756" w:name="_Toc150480779"/>
      <w:r/>
      <w:bookmarkStart w:id="757" w:name="_Toc150774641"/>
      <w:r/>
      <w:bookmarkStart w:id="758" w:name="_Toc265228379"/>
      <w:r/>
      <w:bookmarkStart w:id="759" w:name="_Toc195842906"/>
      <w:r/>
      <w:bookmarkStart w:id="760" w:name="_Toc127151742"/>
      <w:r/>
      <w:bookmarkStart w:id="761" w:name="_Toc151190168"/>
      <w:r/>
      <w:bookmarkStart w:id="762" w:name="_Toc353825551"/>
      <w:r/>
      <w:bookmarkStart w:id="763" w:name="_Toc353873941"/>
      <w:r/>
      <w:bookmarkStart w:id="764" w:name="_Toc226337251"/>
      <w:r/>
      <w:bookmarkStart w:id="765" w:name="_Toc195842920"/>
      <w:r/>
      <w:bookmarkStart w:id="766" w:name="_Toc305158823"/>
      <w:r/>
      <w:bookmarkStart w:id="767" w:name="_Toc353825545"/>
      <w:r/>
      <w:bookmarkStart w:id="768" w:name="_Toc265228393"/>
      <w:r/>
      <w:bookmarkStart w:id="769" w:name="_Toc150774760"/>
      <w:r/>
      <w:bookmarkStart w:id="770" w:name="_Toc305158897"/>
      <w:r/>
      <w:bookmarkStart w:id="771" w:name="_Toc353873935"/>
      <w:r/>
      <w:bookmarkStart w:id="772" w:name="_Toc150480793"/>
      <w:r/>
      <w:bookmarkStart w:id="773" w:name="_Toc264969245"/>
      <w:r/>
      <w:bookmarkStart w:id="774" w:name="_Toc353873665"/>
      <w:r/>
      <w:bookmarkStart w:id="775" w:name="_Toc127151555"/>
      <w:r/>
      <w:bookmarkStart w:id="776" w:name="_Toc226965828"/>
      <w:r/>
      <w:bookmarkStart w:id="777" w:name="_Toc142311057"/>
      <w:r>
        <w:rPr>
          <w:rFonts w:hint="eastAsia" w:ascii="宋体" w:hAnsi="宋体" w:cs="宋体"/>
          <w:b/>
          <w:color w:val="000000"/>
          <w:sz w:val="24"/>
          <w:highlight w:val="none"/>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78" w:name="_Toc520356167"/>
      <w:r>
        <w:rPr>
          <w:rFonts w:hint="eastAsia" w:ascii="宋体" w:hAnsi="宋体" w:cs="宋体"/>
          <w:color w:val="000000"/>
          <w:sz w:val="24"/>
          <w:highlight w:val="none"/>
        </w:rPr>
      </w:r>
      <w:r/>
    </w:p>
    <w:p>
      <w:pPr>
        <w:pStyle w:val="1072"/>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8"/>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trHeight w:val="300"/>
        </w:trPr>
        <w:tc>
          <w:tcPr>
            <w:tcW w:w="403"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5"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1" w:type="dxa"/>
            <w:vAlign w:val="center"/>
            <w:textDirection w:val="lrTb"/>
            <w:noWrap w:val="false"/>
          </w:tcPr>
          <w:p>
            <w:pPr>
              <w:pStyle w:val="1072"/>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10</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color w:val="000000"/>
                <w:sz w:val="24"/>
                <w:highlight w:val="none"/>
              </w:rPr>
            </w:pPr>
            <w:r>
              <w:rPr>
                <w:rFonts w:hint="eastAsia"/>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1、投标（响应）报价低于采购项目预算50%的，即投标（响应）报价&lt;采购项目预算×50%；</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2、投标（响应）报价低于采购项目最高限价45%的，即投 标（响应）报价&lt;采购项目最高限价×45%；</w:t>
            </w:r>
            <w:r>
              <w:rPr>
                <w:rFonts w:hint="eastAsia"/>
                <w:color w:val="000000"/>
                <w:sz w:val="24"/>
                <w:highlight w:val="none"/>
              </w:rPr>
            </w:r>
            <w:r/>
          </w:p>
          <w:p>
            <w:pPr>
              <w:pStyle w:val="1072"/>
              <w:jc w:val="left"/>
              <w:widowControl/>
              <w:rPr>
                <w:rFonts w:hint="eastAsia"/>
                <w:color w:val="000000"/>
                <w:sz w:val="24"/>
                <w:highlight w:val="none"/>
              </w:rPr>
            </w:pPr>
            <w:r>
              <w:rPr>
                <w:rFonts w:hint="eastAsia"/>
                <w:color w:val="000000"/>
                <w:sz w:val="24"/>
                <w:highlight w:val="none"/>
              </w:rPr>
              <w:t xml:space="preserve">3、评审委员会认定的供应商报价过低、有可能影响产品质 量或者不能诚信履约的其他情形。</w:t>
            </w:r>
            <w:r>
              <w:rPr>
                <w:rFonts w:hint="eastAsia"/>
                <w:color w:val="000000"/>
                <w:sz w:val="24"/>
                <w:highlight w:val="none"/>
              </w:rPr>
            </w:r>
            <w:r/>
          </w:p>
          <w:p>
            <w:pPr>
              <w:pStyle w:val="1072"/>
              <w:jc w:val="left"/>
              <w:widowControl/>
              <w:rPr>
                <w:rFonts w:hint="eastAsia" w:ascii="宋体" w:hAnsi="宋体" w:cs="宋体"/>
                <w:color w:val="000000"/>
                <w:sz w:val="24"/>
                <w:highlight w:val="none"/>
              </w:rPr>
            </w:pPr>
            <w:r>
              <w:rPr>
                <w:rFonts w:hint="eastAsia"/>
                <w:color w:val="000000"/>
                <w:sz w:val="24"/>
                <w:highlight w:val="none"/>
              </w:rPr>
              <w:t xml:space="preserve">启动异常低价投标（响应）审查后，评审委员会应当 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12</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13</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3"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rPr>
              <w:t xml:space="preserve">15</w:t>
            </w:r>
            <w:r>
              <w:rPr>
                <w:rFonts w:ascii="宋体" w:hAnsi="宋体" w:cs="宋体"/>
                <w:color w:val="000000"/>
                <w:sz w:val="24"/>
                <w:highlight w:val="none"/>
              </w:rPr>
            </w:r>
            <w:r/>
          </w:p>
        </w:tc>
        <w:tc>
          <w:tcPr>
            <w:tcW w:w="975"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1"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72"/>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■无，按下述2.4.2-2.4.7项规定修正。</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rPr>
        <w:t xml:space="preserve">20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2"/>
      <w:r/>
      <w:bookmarkEnd w:id="763"/>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79" w:name="_Toc151193644"/>
      <w:r/>
      <w:bookmarkStart w:id="780" w:name="_Toc150509297"/>
      <w:r/>
      <w:bookmarkStart w:id="781" w:name="_Ref467307010"/>
      <w:r/>
      <w:bookmarkStart w:id="782" w:name="_Toc305158888"/>
      <w:r/>
      <w:bookmarkStart w:id="783" w:name="_Toc151193788"/>
      <w:r/>
      <w:bookmarkStart w:id="784" w:name="_Toc226965819"/>
      <w:r/>
      <w:bookmarkStart w:id="785" w:name="_Toc150774646"/>
      <w:r/>
      <w:bookmarkStart w:id="786" w:name="_Toc226337242"/>
      <w:r/>
      <w:bookmarkStart w:id="787" w:name="_Toc195842911"/>
      <w:r/>
      <w:bookmarkStart w:id="788" w:name="_Toc265228384"/>
      <w:r/>
      <w:bookmarkStart w:id="789" w:name="_Toc151190173"/>
      <w:r/>
      <w:bookmarkStart w:id="790" w:name="_Toc164608660"/>
      <w:r/>
      <w:bookmarkStart w:id="791" w:name="_Toc150480784"/>
      <w:r/>
      <w:bookmarkStart w:id="792" w:name="_Toc305158814"/>
      <w:r/>
      <w:bookmarkStart w:id="793" w:name="_Toc151193716"/>
      <w:r/>
      <w:bookmarkStart w:id="794" w:name="_Toc151193934"/>
      <w:r/>
      <w:bookmarkStart w:id="795" w:name="_Toc127151747"/>
      <w:r/>
      <w:bookmarkStart w:id="796" w:name="_Toc164229241"/>
      <w:r/>
      <w:bookmarkStart w:id="797" w:name="_Toc164351640"/>
      <w:r/>
      <w:bookmarkStart w:id="798" w:name="_Toc150774751"/>
      <w:r/>
      <w:bookmarkStart w:id="799" w:name="_Toc127151546"/>
      <w:r/>
      <w:bookmarkStart w:id="800" w:name="_Toc164608815"/>
      <w:r/>
      <w:bookmarkStart w:id="801" w:name="_Toc149720839"/>
      <w:r/>
      <w:bookmarkStart w:id="802" w:name="_Toc264969236"/>
      <w:r/>
      <w:bookmarkStart w:id="803" w:name="_Toc520356170"/>
      <w:r/>
      <w:bookmarkStart w:id="804" w:name="_Toc127161460"/>
      <w:r/>
      <w:bookmarkStart w:id="805" w:name="_Toc226309790"/>
      <w:r/>
      <w:bookmarkStart w:id="806" w:name="_Toc164229387"/>
      <w:r/>
      <w:bookmarkStart w:id="807" w:name="_Toc142311048"/>
      <w:r/>
      <w:bookmarkStart w:id="808" w:name="_Toc151193860"/>
      <w:r/>
      <w:bookmarkStart w:id="809" w:name="_Toc226965736"/>
      <w:r>
        <w:rPr>
          <w:rFonts w:hint="eastAsia" w:ascii="宋体" w:hAnsi="宋体" w:cs="宋体"/>
          <w:b/>
          <w:color w:val="000000"/>
          <w:sz w:val="24"/>
          <w:highlight w:val="none"/>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11"/>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72"/>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72"/>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72"/>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72"/>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72"/>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72"/>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256"/>
        <w:gridCol w:w="882"/>
        <w:gridCol w:w="3702"/>
        <w:gridCol w:w="2489"/>
      </w:tblGrid>
      <w:tr>
        <w:trPr>
          <w:trHeight w:val="170"/>
        </w:trPr>
        <w:tc>
          <w:tcPr>
            <w:tcW w:w="516"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676"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评分因素</w:t>
            </w:r>
            <w:r>
              <w:rPr>
                <w:rFonts w:ascii="宋体" w:hAnsi="宋体"/>
                <w:b/>
                <w:color w:val="000000"/>
                <w:sz w:val="24"/>
                <w:highlight w:val="none"/>
              </w:rPr>
            </w:r>
            <w:r/>
          </w:p>
        </w:tc>
        <w:tc>
          <w:tcPr>
            <w:tcW w:w="475"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分值</w:t>
            </w:r>
            <w:r>
              <w:rPr>
                <w:rFonts w:ascii="宋体" w:hAnsi="宋体"/>
                <w:b/>
                <w:color w:val="000000"/>
                <w:sz w:val="24"/>
                <w:highlight w:val="none"/>
              </w:rPr>
            </w:r>
            <w:r/>
          </w:p>
        </w:tc>
        <w:tc>
          <w:tcPr>
            <w:tcW w:w="1993" w:type="dxa"/>
            <w:vAlign w:val="center"/>
            <w:textDirection w:val="lrTb"/>
            <w:noWrap w:val="false"/>
          </w:tcPr>
          <w:p>
            <w:pPr>
              <w:pStyle w:val="1072"/>
              <w:ind w:firstLine="28"/>
              <w:jc w:val="center"/>
              <w:rPr>
                <w:rFonts w:ascii="宋体" w:hAnsi="宋体"/>
                <w:b/>
                <w:color w:val="000000"/>
                <w:sz w:val="24"/>
                <w:highlight w:val="none"/>
              </w:rPr>
            </w:pPr>
            <w:r>
              <w:rPr>
                <w:rFonts w:ascii="宋体" w:hAnsi="宋体"/>
                <w:b/>
                <w:color w:val="000000"/>
                <w:sz w:val="24"/>
                <w:highlight w:val="none"/>
              </w:rPr>
              <w:t xml:space="preserve">评分标准</w:t>
            </w:r>
            <w:r>
              <w:rPr>
                <w:rFonts w:ascii="宋体" w:hAnsi="宋体"/>
                <w:b/>
                <w:color w:val="000000"/>
                <w:sz w:val="24"/>
                <w:highlight w:val="none"/>
              </w:rPr>
            </w:r>
            <w:r/>
          </w:p>
        </w:tc>
        <w:tc>
          <w:tcPr>
            <w:tcW w:w="1340" w:type="dxa"/>
            <w:vAlign w:val="center"/>
            <w:textDirection w:val="lrTb"/>
            <w:noWrap w:val="false"/>
          </w:tcPr>
          <w:p>
            <w:pPr>
              <w:pStyle w:val="1317"/>
              <w:spacing w:before="0" w:after="0" w:line="240" w:lineRule="auto"/>
              <w:rPr>
                <w:rFonts w:ascii="宋体" w:hAnsi="宋体" w:eastAsia="宋体"/>
                <w:color w:val="000000"/>
                <w:szCs w:val="24"/>
                <w:highlight w:val="none"/>
              </w:rPr>
            </w:pPr>
            <w:r>
              <w:rPr>
                <w:rFonts w:ascii="宋体" w:hAnsi="宋体" w:eastAsia="宋体"/>
                <w:color w:val="000000"/>
                <w:szCs w:val="24"/>
                <w:highlight w:val="none"/>
              </w:rPr>
              <w:t xml:space="preserve">说明</w:t>
            </w:r>
            <w:r>
              <w:rPr>
                <w:rFonts w:ascii="宋体" w:hAnsi="宋体" w:eastAsia="宋体"/>
                <w:color w:val="000000"/>
                <w:szCs w:val="24"/>
                <w:highlight w:val="none"/>
              </w:rPr>
            </w:r>
            <w:r/>
          </w:p>
        </w:tc>
      </w:tr>
      <w:tr>
        <w:trPr>
          <w:trHeight w:val="170"/>
        </w:trPr>
        <w:tc>
          <w:tcPr>
            <w:tcW w:w="516" w:type="dxa"/>
            <w:vAlign w:val="center"/>
            <w:textDirection w:val="lrTb"/>
            <w:noWrap w:val="false"/>
          </w:tcPr>
          <w:p>
            <w:pPr>
              <w:pStyle w:val="1072"/>
              <w:ind w:firstLine="28"/>
              <w:jc w:val="center"/>
              <w:rPr>
                <w:rFonts w:ascii="宋体" w:hAnsi="宋体"/>
                <w:b/>
                <w:color w:val="000000"/>
                <w:sz w:val="24"/>
                <w:highlight w:val="none"/>
              </w:rPr>
            </w:pPr>
            <w:r>
              <w:rPr>
                <w:rFonts w:hint="eastAsia" w:ascii="宋体" w:hAnsi="宋体"/>
                <w:bCs/>
                <w:color w:val="000000"/>
                <w:sz w:val="24"/>
                <w:highlight w:val="none"/>
              </w:rPr>
              <w:t xml:space="preserve">1</w:t>
            </w:r>
            <w:r>
              <w:rPr>
                <w:rFonts w:ascii="宋体" w:hAnsi="宋体"/>
                <w:b/>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价格分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30</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价格分采用低价优先法计算，即满足招标文件要求且招标价格最低的投标报价为评标基准价，其价格分为满分。其他投标人的价格分统一按照下列公式计算（计算结果四舍五入保留两位小数）：</w:t>
            </w:r>
            <w:r>
              <w:rPr>
                <w:rFonts w:ascii="宋体" w:hAnsi="宋体" w:cs="宋体"/>
                <w:color w:val="000000"/>
                <w:sz w:val="24"/>
                <w:highlight w:val="none"/>
              </w:rPr>
            </w:r>
            <w:r/>
          </w:p>
          <w:p>
            <w:pPr>
              <w:pStyle w:val="1072"/>
              <w:spacing w:line="360" w:lineRule="exact"/>
              <w:rPr>
                <w:rFonts w:ascii="宋体" w:hAnsi="宋体" w:cs="宋体"/>
                <w:b/>
                <w:color w:val="000000"/>
                <w:sz w:val="24"/>
                <w:highlight w:val="none"/>
              </w:rPr>
            </w:pPr>
            <w:r>
              <w:rPr>
                <w:rFonts w:hint="eastAsia" w:ascii="宋体" w:hAnsi="宋体" w:cs="宋体"/>
                <w:color w:val="000000"/>
                <w:sz w:val="24"/>
                <w:highlight w:val="none"/>
              </w:rPr>
              <w:t xml:space="preserve">投标报价得分=（评标基准价/磋商报价）*价格权重</w:t>
            </w:r>
            <w:r>
              <w:rPr>
                <w:rFonts w:ascii="宋体" w:hAnsi="宋体" w:cs="宋体"/>
                <w:b/>
                <w:color w:val="000000"/>
                <w:sz w:val="24"/>
                <w:highlight w:val="none"/>
              </w:rPr>
            </w:r>
            <w:r/>
          </w:p>
        </w:tc>
        <w:tc>
          <w:tcPr>
            <w:tcW w:w="1340" w:type="dxa"/>
            <w:vAlign w:val="center"/>
            <w:textDirection w:val="lrTb"/>
            <w:noWrap w:val="false"/>
          </w:tcPr>
          <w:p>
            <w:pPr>
              <w:pStyle w:val="1072"/>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此处最终报价指经过报价修正，及因落实政府采购政策进行价格调整后的最终报价，详见第四章《评标方法和评标标准》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主观分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28</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2.1</w:t>
            </w:r>
            <w:r>
              <w:rPr>
                <w:rFonts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根据投标人提供的项目实施方案内容的完整性及进度计划安排的合理性进行打分，包括但不限于投标人如何在成交后有效地组织技术和人员力量，按时保质地完成供货、安装验收等。</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实施方案内容完整、进度计划安排合理、优于采购人需求的得5分；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实施方案内容一般、进度计划安排一般、基本满足采购人需求的得3分；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实施方案内容较少、进度计划安排不合理、不能很好满足采购人需求的得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不提供不得分。</w:t>
            </w:r>
            <w:r>
              <w:rPr>
                <w:rFonts w:ascii="宋体" w:hAnsi="宋体" w:cs="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center"/>
              <w:widowControl/>
              <w:rPr>
                <w:rFonts w:ascii="宋体" w:hAnsi="宋体" w:cs="宋体"/>
                <w:color w:val="000000"/>
                <w:sz w:val="24"/>
                <w:highlight w:val="none"/>
              </w:rPr>
            </w:pPr>
            <w:r>
              <w:rPr>
                <w:rFonts w:hint="eastAsia" w:ascii="宋体" w:hAnsi="宋体" w:cs="宋体"/>
                <w:color w:val="000000"/>
                <w:sz w:val="24"/>
                <w:highlight w:val="none"/>
                <w:lang w:bidi="ar"/>
              </w:rPr>
              <w:t xml:space="preserve">2.2</w:t>
            </w:r>
            <w:r>
              <w:rPr>
                <w:rFonts w:ascii="宋体" w:hAnsi="宋体" w:cs="宋体"/>
                <w:color w:val="000000"/>
                <w:sz w:val="24"/>
                <w:highlight w:val="none"/>
              </w:rPr>
            </w:r>
            <w:r/>
          </w:p>
        </w:tc>
        <w:tc>
          <w:tcPr>
            <w:tcW w:w="676" w:type="dxa"/>
            <w:vAlign w:val="center"/>
            <w:textDirection w:val="lrTb"/>
            <w:noWrap w:val="false"/>
          </w:tcPr>
          <w:p>
            <w:pPr>
              <w:pStyle w:val="1072"/>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产品质量保障方案</w:t>
            </w:r>
            <w:r>
              <w:rPr>
                <w:rFonts w:hint="eastAsia"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s="宋体"/>
                <w:color w:val="000000"/>
                <w:sz w:val="24"/>
                <w:highlight w:val="none"/>
                <w:lang w:bidi="ar"/>
              </w:rPr>
              <w:t xml:space="preserve">5</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72"/>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ascii="宋体" w:hAnsi="宋体" w:cs="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676" w:type="dxa"/>
            <w:vAlign w:val="center"/>
            <w:textDirection w:val="lrTb"/>
            <w:noWrap w:val="false"/>
          </w:tcPr>
          <w:p>
            <w:pPr>
              <w:pStyle w:val="1251"/>
              <w:jc w:val="center"/>
              <w:spacing w:line="360" w:lineRule="exact"/>
              <w:rPr>
                <w:rFonts w:ascii="宋体" w:hAnsi="宋体" w:cs="宋体"/>
                <w:color w:val="000000"/>
                <w:highlight w:val="none"/>
              </w:rPr>
            </w:pPr>
            <w:r>
              <w:rPr>
                <w:rFonts w:hint="eastAsia" w:ascii="宋体" w:hAnsi="宋体" w:cs="宋体"/>
                <w:color w:val="000000"/>
                <w:highlight w:val="none"/>
              </w:rPr>
              <w:t xml:space="preserve">培训方案</w:t>
            </w:r>
            <w:r>
              <w:rPr>
                <w:rFonts w:ascii="宋体" w:hAnsi="宋体" w:cs="宋体"/>
                <w:color w:val="000000"/>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投标人培训方案情况比较：包括培训步骤、培训计划、培训记录表等。</w:t>
            </w:r>
            <w:r>
              <w:rPr>
                <w:rFonts w:ascii="宋体" w:hAnsi="宋体" w:cs="宋体"/>
                <w:color w:val="000000"/>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培训方案较为详细具体，可行性较高，满足项目需求的得3分；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ascii="宋体" w:hAnsi="宋体" w:cs="宋体"/>
                <w:color w:val="000000"/>
                <w:sz w:val="24"/>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67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售后服务管理体系方案</w:t>
            </w:r>
            <w:r>
              <w:rPr>
                <w:rFonts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针对本项目制定的售后服务管理体系方案，包括售后服务人员、服务机制、响应时间、故障解决等内容的合理性和可行性。</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售后服务方案完整合理，可行性高，优于项目需求的得4分；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售后服务方案较为完整合理，可行性较高，满足项目需求的得2.5分；</w:t>
            </w:r>
            <w:r>
              <w:rPr>
                <w:rFonts w:ascii="宋体" w:hAnsi="宋体" w:cs="宋体"/>
                <w:color w:val="000000"/>
                <w:sz w:val="24"/>
                <w:highlight w:val="none"/>
              </w:rPr>
            </w:r>
            <w:r/>
          </w:p>
          <w:p>
            <w:pPr>
              <w:pStyle w:val="1072"/>
              <w:spacing w:line="300" w:lineRule="exact"/>
              <w:rPr>
                <w:rFonts w:ascii="宋体" w:hAnsi="宋体" w:cs="宋体"/>
                <w:color w:val="000000"/>
                <w:sz w:val="24"/>
                <w:highlight w:val="none"/>
              </w:rPr>
            </w:pPr>
            <w:r>
              <w:rPr>
                <w:rFonts w:hint="eastAsia" w:ascii="宋体" w:hAnsi="宋体" w:cs="宋体"/>
                <w:color w:val="000000"/>
                <w:sz w:val="24"/>
                <w:highlight w:val="none"/>
              </w:rPr>
              <w:t xml:space="preserve">售后服务方案不够完整合理，可行性较低，不能完全满足项目需求的得1分；</w:t>
            </w:r>
            <w:r>
              <w:rPr>
                <w:rFonts w:ascii="宋体" w:hAnsi="宋体" w:cs="宋体"/>
                <w:color w:val="000000"/>
                <w:sz w:val="24"/>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676" w:type="dxa"/>
            <w:vAlign w:val="center"/>
            <w:textDirection w:val="lrTb"/>
            <w:noWrap w:val="false"/>
          </w:tcPr>
          <w:p>
            <w:pPr>
              <w:pStyle w:val="1072"/>
              <w:jc w:val="left"/>
              <w:widowControl/>
              <w:rPr>
                <w:rFonts w:ascii="宋体" w:hAnsi="宋体" w:cs="宋体"/>
                <w:color w:val="000000"/>
                <w:sz w:val="24"/>
                <w:highlight w:val="none"/>
              </w:rPr>
            </w:pPr>
            <w:r>
              <w:rPr>
                <w:rFonts w:hint="eastAsia" w:ascii="宋体" w:hAnsi="宋体" w:cs="宋体"/>
                <w:color w:val="000000"/>
                <w:sz w:val="24"/>
                <w:highlight w:val="none"/>
              </w:rPr>
              <w:t xml:space="preserve">质保期满后维保收费及内容比较</w:t>
            </w:r>
            <w:r>
              <w:rPr>
                <w:rFonts w:ascii="宋体" w:hAnsi="宋体" w:cs="宋体"/>
                <w:color w:val="000000"/>
                <w:sz w:val="24"/>
                <w:highlight w:val="none"/>
              </w:rPr>
            </w:r>
            <w:r/>
          </w:p>
        </w:tc>
        <w:tc>
          <w:tcPr>
            <w:tcW w:w="475" w:type="dxa"/>
            <w:vAlign w:val="center"/>
            <w:textDirection w:val="lrTb"/>
            <w:noWrap w:val="false"/>
          </w:tcPr>
          <w:p>
            <w:pPr>
              <w:pStyle w:val="1072"/>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质保期满后维保收费及内容比较：</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提供零配件和维修备品备件的供应保障和维保期满后维保收费及维保方案内容完整清晰</w:t>
            </w:r>
            <w:r>
              <w:rPr>
                <w:rFonts w:hint="eastAsia" w:ascii="宋体" w:hAnsi="宋体" w:cs="宋体"/>
                <w:color w:val="000000"/>
                <w:highlight w:val="none"/>
              </w:rPr>
              <w:t xml:space="preserve">，优于项目需求的得4分；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零配件和维修备品备件的供应保障和维保期满后维保收费及维保方案内容较完整</w:t>
            </w:r>
            <w:r>
              <w:rPr>
                <w:rFonts w:hint="eastAsia" w:ascii="宋体" w:hAnsi="宋体" w:cs="宋体"/>
                <w:color w:val="000000"/>
                <w:highlight w:val="none"/>
              </w:rPr>
              <w:t xml:space="preserve">，满足项目需求的得2.5分；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零配件和维修备品备件的供应保障和维保期满后维保收费及维保方案内容介绍简单的得1分；</w:t>
            </w:r>
            <w:r>
              <w:rPr>
                <w:rFonts w:ascii="宋体" w:hAnsi="宋体" w:cs="宋体"/>
                <w:color w:val="000000"/>
                <w:highlight w:val="none"/>
              </w:rPr>
            </w:r>
            <w:r/>
          </w:p>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不提供不得分。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hint="eastAsia" w:ascii="宋体" w:hAnsi="宋体" w:cs="宋体"/>
                <w:color w:val="000000"/>
                <w:sz w:val="24"/>
                <w:highlight w:val="none"/>
              </w:rPr>
            </w:pPr>
            <w:r>
              <w:rPr>
                <w:rFonts w:hint="eastAsia" w:ascii="宋体" w:hAnsi="宋体"/>
                <w:color w:val="000000"/>
                <w:sz w:val="24"/>
                <w:highlight w:val="none"/>
              </w:rPr>
              <w:t xml:space="preserve">2.6</w:t>
            </w:r>
            <w:r>
              <w:rPr>
                <w:rFonts w:hint="eastAsia" w:ascii="宋体" w:hAnsi="宋体" w:cs="宋体"/>
                <w:color w:val="000000"/>
                <w:sz w:val="24"/>
                <w:highlight w:val="none"/>
              </w:rPr>
            </w:r>
            <w:r/>
          </w:p>
        </w:tc>
        <w:tc>
          <w:tcPr>
            <w:tcW w:w="676" w:type="dxa"/>
            <w:vAlign w:val="center"/>
            <w:textDirection w:val="lrTb"/>
            <w:noWrap w:val="false"/>
          </w:tcPr>
          <w:p>
            <w:pPr>
              <w:pStyle w:val="1251"/>
              <w:jc w:val="center"/>
              <w:spacing w:line="360" w:lineRule="exact"/>
              <w:rPr>
                <w:rFonts w:ascii="宋体" w:hAnsi="宋体" w:cs="宋体"/>
                <w:color w:val="000000"/>
                <w:highlight w:val="none"/>
                <w:lang w:val="zh-CN"/>
              </w:rPr>
            </w:pPr>
            <w:r>
              <w:rPr>
                <w:rFonts w:hint="eastAsia" w:ascii="宋体" w:hAnsi="宋体" w:cs="宋体"/>
                <w:color w:val="000000"/>
                <w:highlight w:val="none"/>
                <w:lang w:val="zh-CN"/>
              </w:rPr>
              <w:t xml:space="preserve">投标</w:t>
            </w:r>
            <w:r>
              <w:rPr>
                <w:rFonts w:ascii="宋体" w:hAnsi="宋体" w:cs="宋体"/>
                <w:color w:val="000000"/>
                <w:highlight w:val="none"/>
                <w:lang w:val="zh-CN"/>
              </w:rPr>
              <w:t xml:space="preserve">设备</w:t>
            </w:r>
            <w:r>
              <w:rPr>
                <w:rFonts w:hint="eastAsia" w:ascii="宋体" w:hAnsi="宋体" w:cs="宋体"/>
                <w:color w:val="000000"/>
                <w:highlight w:val="none"/>
                <w:lang w:val="zh-CN"/>
              </w:rPr>
              <w:t xml:space="preserve">整体配置</w:t>
            </w:r>
            <w:r>
              <w:rPr>
                <w:rFonts w:ascii="宋体" w:hAnsi="宋体" w:cs="宋体"/>
                <w:color w:val="000000"/>
                <w:highlight w:val="none"/>
                <w:lang w:val="zh-CN"/>
              </w:rPr>
            </w:r>
            <w:r/>
          </w:p>
          <w:p>
            <w:pPr>
              <w:pStyle w:val="1251"/>
              <w:jc w:val="center"/>
              <w:spacing w:line="360" w:lineRule="exact"/>
              <w:rPr>
                <w:rFonts w:ascii="宋体" w:hAnsi="宋体" w:cs="宋体"/>
                <w:color w:val="000000"/>
                <w:highlight w:val="none"/>
              </w:rPr>
            </w:pPr>
            <w:r>
              <w:rPr>
                <w:rFonts w:hint="eastAsia" w:ascii="宋体" w:hAnsi="宋体" w:cs="宋体"/>
                <w:color w:val="000000"/>
                <w:highlight w:val="none"/>
                <w:lang w:val="zh-CN"/>
              </w:rPr>
              <w:t xml:space="preserve">情况比较</w:t>
            </w:r>
            <w:r>
              <w:rPr>
                <w:rFonts w:ascii="宋体" w:hAnsi="宋体" w:cs="宋体"/>
                <w:color w:val="000000"/>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ascii="宋体" w:hAnsi="宋体" w:cs="宋体"/>
                <w:color w:val="000000"/>
                <w:sz w:val="24"/>
                <w:highlight w:val="none"/>
                <w:lang w:val="zh-CN"/>
              </w:rPr>
              <w:t xml:space="preserve">5</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针对本项目的投标产品配置选型一般、且与项目需求的吻合度一般，得</w:t>
            </w:r>
            <w:r>
              <w:rPr>
                <w:rFonts w:ascii="宋体" w:hAnsi="宋体" w:cs="宋体"/>
                <w:color w:val="000000"/>
                <w:sz w:val="24"/>
                <w:highlight w:val="none"/>
                <w:lang w:val="zh-CN"/>
              </w:rPr>
              <w:t xml:space="preserve">3</w:t>
            </w:r>
            <w:r>
              <w:rPr>
                <w:rFonts w:hint="eastAsia" w:ascii="宋体" w:hAnsi="宋体" w:cs="宋体"/>
                <w:color w:val="000000"/>
                <w:sz w:val="24"/>
                <w:highlight w:val="none"/>
                <w:lang w:val="zh-CN"/>
              </w:rPr>
              <w:t xml:space="preserve">分；</w:t>
            </w:r>
            <w:r>
              <w:rPr>
                <w:rFonts w:ascii="宋体" w:hAnsi="宋体" w:cs="宋体"/>
                <w:color w:val="000000"/>
                <w:sz w:val="24"/>
                <w:highlight w:val="none"/>
                <w:lang w:val="zh-CN"/>
              </w:rPr>
            </w:r>
            <w:r/>
          </w:p>
          <w:p>
            <w:pPr>
              <w:pStyle w:val="1072"/>
              <w:spacing w:line="3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针对本项目的投标产品配置选型差、且与项目需求的吻合度差，得1分；</w:t>
            </w:r>
            <w:r>
              <w:rPr>
                <w:rFonts w:ascii="宋体" w:hAnsi="宋体" w:cs="宋体"/>
                <w:color w:val="000000"/>
                <w:sz w:val="24"/>
                <w:highlight w:val="none"/>
                <w:lang w:val="zh-CN"/>
              </w:rPr>
            </w:r>
            <w:r/>
          </w:p>
          <w:p>
            <w:pPr>
              <w:pStyle w:val="1251"/>
              <w:spacing w:line="360" w:lineRule="exact"/>
              <w:rPr>
                <w:rFonts w:ascii="宋体" w:hAnsi="宋体" w:cs="宋体"/>
                <w:color w:val="000000"/>
                <w:highlight w:val="none"/>
              </w:rPr>
            </w:pPr>
            <w:r>
              <w:rPr>
                <w:rFonts w:hint="eastAsia" w:ascii="宋体" w:hAnsi="宋体" w:cs="宋体"/>
                <w:color w:val="000000"/>
                <w:highlight w:val="none"/>
                <w:lang w:val="zh-CN"/>
              </w:rPr>
              <w:t xml:space="preserve">其余不得分。</w:t>
            </w:r>
            <w:r>
              <w:rPr>
                <w:rFonts w:ascii="宋体" w:hAnsi="宋体" w:cs="宋体"/>
                <w:color w:val="000000"/>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客观分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42</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olor w:val="000000"/>
                <w:sz w:val="24"/>
                <w:highlight w:val="none"/>
              </w:rPr>
            </w:pPr>
            <w:r>
              <w:rPr>
                <w:rFonts w:ascii="宋体" w:hAnsi="宋体"/>
                <w:color w:val="000000"/>
                <w:sz w:val="24"/>
                <w:highlight w:val="none"/>
              </w:rPr>
            </w:r>
            <w:r/>
          </w:p>
        </w:tc>
        <w:tc>
          <w:tcPr>
            <w:tcW w:w="1340" w:type="dxa"/>
            <w:vAlign w:val="center"/>
            <w:textDirection w:val="lrTb"/>
            <w:noWrap w:val="false"/>
          </w:tcPr>
          <w:p>
            <w:pPr>
              <w:pStyle w:val="1072"/>
              <w:ind w:left="-38"/>
              <w:spacing w:line="360" w:lineRule="auto"/>
              <w:rPr>
                <w:rFonts w:ascii="宋体" w:hAnsi="宋体"/>
                <w:color w:val="000000"/>
                <w:sz w:val="24"/>
                <w:highlight w:val="none"/>
              </w:rPr>
            </w:pPr>
            <w:r>
              <w:rPr>
                <w:rFonts w:ascii="宋体" w:hAnsi="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s="宋体"/>
                <w:color w:val="000000"/>
                <w:sz w:val="24"/>
                <w:highlight w:val="none"/>
              </w:rPr>
              <w:t xml:space="preserve">技术部分</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37</w:t>
            </w:r>
            <w:r>
              <w:rPr>
                <w:rFonts w:ascii="宋体" w:hAnsi="宋体"/>
                <w:color w:val="000000"/>
                <w:sz w:val="24"/>
                <w:highlight w:val="none"/>
              </w:rPr>
            </w:r>
            <w:r/>
          </w:p>
        </w:tc>
        <w:tc>
          <w:tcPr>
            <w:tcW w:w="1993" w:type="dxa"/>
            <w:vAlign w:val="center"/>
            <w:textDirection w:val="lrTb"/>
            <w:noWrap w:val="false"/>
          </w:tcPr>
          <w:p>
            <w:pPr>
              <w:pStyle w:val="1072"/>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技术要求的符合性，即对提供货物的技术参数、配置、性能是否符合或优于招标文件要求进行评价。符合技术要求的得37分；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w:t>
            </w:r>
            <w:r>
              <w:rPr>
                <w:rFonts w:hint="eastAsia" w:ascii="宋体" w:hAnsi="宋体" w:cs="宋体"/>
                <w:color w:val="000000"/>
                <w:sz w:val="24"/>
                <w:highlight w:val="none"/>
                <w:lang w:val="en-US" w:eastAsia="zh-CN"/>
              </w:rPr>
              <w:t xml:space="preserve">实质性</w:t>
            </w:r>
            <w:r>
              <w:rPr>
                <w:rFonts w:hint="eastAsia" w:ascii="宋体" w:hAnsi="宋体" w:cs="宋体"/>
                <w:color w:val="000000"/>
                <w:sz w:val="24"/>
                <w:highlight w:val="none"/>
              </w:rPr>
              <w:t xml:space="preserve">参数</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如不满足作无效投标处理；</w:t>
            </w:r>
            <w:r>
              <w:rPr>
                <w:rFonts w:hint="eastAsia" w:ascii="宋体" w:hAnsi="宋体" w:cs="宋体"/>
                <w:color w:val="000000"/>
                <w:sz w:val="24"/>
                <w:highlight w:val="none"/>
                <w:lang w:bidi="ar"/>
              </w:rPr>
              <w:t xml:space="preserve">采购技术要求</w:t>
            </w:r>
            <w:r>
              <w:rPr>
                <w:rFonts w:hint="eastAsia" w:ascii="宋体" w:hAnsi="宋体" w:cs="宋体"/>
                <w:color w:val="000000"/>
                <w:sz w:val="24"/>
                <w:highlight w:val="none"/>
              </w:rPr>
              <w:t xml:space="preserve">中带“▲”参数为重要参数，每有一项负偏离的，扣</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分；其他参数为一般参数，每有一项负偏离的，扣</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分；扣完为止。</w:t>
            </w:r>
            <w:r>
              <w:rPr>
                <w:rFonts w:ascii="宋体" w:hAnsi="宋体" w:cs="宋体"/>
                <w:color w:val="000000"/>
                <w:sz w:val="24"/>
                <w:highlight w:val="none"/>
              </w:rPr>
            </w:r>
            <w:r/>
          </w:p>
        </w:tc>
        <w:tc>
          <w:tcPr>
            <w:tcW w:w="1340" w:type="dxa"/>
            <w:vAlign w:val="center"/>
            <w:textDirection w:val="lrTb"/>
            <w:noWrap w:val="false"/>
          </w:tcPr>
          <w:p>
            <w:pPr>
              <w:pStyle w:val="1072"/>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备注1：提供技术参数的证明材料包括但不限于（投标产品注册证及附件、技术白皮书、产品彩页、产品说明书、认证证书、检测/检验报告、功能截图等技术支持性文件资料(如技术支持性文件资料非中文版本的，请同时提供中文翻译版)，未提供或提供的证明材料不符合要求视为负偏离。 </w:t>
            </w:r>
            <w:r>
              <w:rPr>
                <w:rFonts w:hint="eastAsia" w:ascii="宋体" w:hAnsi="宋体" w:cs="宋体"/>
                <w:b/>
                <w:bCs/>
                <w:color w:val="000000"/>
                <w:sz w:val="24"/>
                <w:highlight w:val="none"/>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b/>
                <w:bCs/>
                <w:color w:val="000000"/>
                <w:sz w:val="24"/>
                <w:highlight w:val="none"/>
              </w:rPr>
              <w:t xml:space="preserve">备注2：完全复制招标文件技术参数要求的，评标小组有权视为所有技术参数负偏离，文字描述、国标、定制尺寸的技术指标除外。</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3.2</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b/>
                <w:color w:val="000000"/>
                <w:highlight w:val="none"/>
              </w:rPr>
            </w:pPr>
            <w:r>
              <w:rPr>
                <w:rFonts w:hint="eastAsia" w:ascii="宋体" w:hAnsi="宋体" w:cs="宋体"/>
                <w:bCs/>
                <w:color w:val="000000"/>
                <w:highlight w:val="none"/>
              </w:rPr>
              <w:t xml:space="preserve">提供投标人或者制造商(含制造商其他代理商)自2022年1月1日以来在国内的销售合同（</w:t>
            </w:r>
            <w:r>
              <w:rPr>
                <w:rFonts w:hint="eastAsia" w:ascii="宋体" w:hAnsi="宋体" w:cs="宋体"/>
                <w:b/>
                <w:color w:val="000000"/>
                <w:highlight w:val="none"/>
              </w:rPr>
              <w:t xml:space="preserve">合同内产品必须与所投产品为同品牌同</w:t>
            </w:r>
            <w:r>
              <w:rPr>
                <w:rFonts w:hint="eastAsia" w:ascii="宋体" w:hAnsi="宋体" w:cs="宋体"/>
                <w:b/>
                <w:color w:val="000000"/>
                <w:highlight w:val="none"/>
                <w:lang w:val="en-US" w:eastAsia="zh-CN"/>
              </w:rPr>
              <w:t xml:space="preserve">型号</w:t>
            </w:r>
            <w:r>
              <w:rPr>
                <w:rFonts w:hint="eastAsia" w:ascii="宋体" w:hAnsi="宋体" w:cs="宋体"/>
                <w:bCs/>
                <w:color w:val="000000"/>
                <w:highlight w:val="none"/>
              </w:rPr>
              <w:t xml:space="preserve">），每提供一份有效合同得1分，最多得2分。</w:t>
            </w:r>
            <w:r>
              <w:rPr>
                <w:rFonts w:ascii="宋体" w:hAnsi="宋体" w:cs="宋体"/>
                <w:b/>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1、提供合同复印件</w:t>
            </w:r>
            <w:r>
              <w:rPr>
                <w:rFonts w:hint="eastAsia" w:ascii="宋体" w:hAnsi="宋体" w:cs="宋体"/>
                <w:color w:val="000000"/>
                <w:sz w:val="24"/>
                <w:highlight w:val="none"/>
              </w:rPr>
            </w:r>
            <w:r/>
          </w:p>
          <w:p>
            <w:pPr>
              <w:pStyle w:val="1072"/>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2、时间以合同签订时间为准</w:t>
            </w:r>
            <w:r>
              <w:rPr>
                <w:rFonts w:hint="eastAsia" w:ascii="宋体" w:hAnsi="宋体" w:cs="宋体"/>
                <w:color w:val="000000"/>
                <w:sz w:val="24"/>
                <w:highlight w:val="none"/>
              </w:rPr>
            </w:r>
            <w:r/>
          </w:p>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3、合同甲方应为最终实际使用合同标的的一方。</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3.3</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质保期</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投标产品的免费质保期满足招标文件要求的基础上，免费质保期</w:t>
            </w:r>
            <w:r>
              <w:rPr>
                <w:rFonts w:ascii="宋体" w:hAnsi="宋体" w:cs="宋体"/>
                <w:color w:val="000000"/>
                <w:highlight w:val="none"/>
              </w:rPr>
              <w:t xml:space="preserve">整体延长</w:t>
            </w:r>
            <w:r>
              <w:rPr>
                <w:rFonts w:hint="eastAsia" w:ascii="宋体" w:hAnsi="宋体" w:cs="宋体"/>
                <w:color w:val="000000"/>
                <w:highlight w:val="none"/>
              </w:rPr>
              <w:t xml:space="preserve">1年，得</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分，本项最高2分。</w:t>
            </w:r>
            <w:r>
              <w:rPr>
                <w:rFonts w:ascii="宋体" w:hAnsi="宋体" w:cs="宋体"/>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rPr>
                <w:rFonts w:hint="eastAsia" w:ascii="宋体" w:hAnsi="宋体" w:cs="宋体"/>
                <w:color w:val="000000"/>
                <w:sz w:val="24"/>
                <w:highlight w:val="none"/>
              </w:rPr>
              <w:t xml:space="preserve">提供服务承诺书，签字盖章有效</w:t>
            </w:r>
            <w:r>
              <w:rPr>
                <w:rFonts w:ascii="宋体" w:hAnsi="宋体" w:cs="宋体"/>
                <w:color w:val="000000"/>
                <w:sz w:val="24"/>
                <w:highlight w:val="none"/>
              </w:rPr>
            </w:r>
            <w:r/>
          </w:p>
        </w:tc>
      </w:tr>
      <w:tr>
        <w:trPr>
          <w:trHeight w:val="170"/>
        </w:trPr>
        <w:tc>
          <w:tcPr>
            <w:tcW w:w="516" w:type="dxa"/>
            <w:vAlign w:val="center"/>
            <w:textDirection w:val="lrTb"/>
            <w:noWrap w:val="false"/>
          </w:tcPr>
          <w:p>
            <w:pPr>
              <w:pStyle w:val="1072"/>
              <w:ind w:firstLine="28"/>
              <w:jc w:val="center"/>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4</w:t>
            </w:r>
            <w:r>
              <w:rPr>
                <w:rFonts w:ascii="宋体" w:hAnsi="宋体"/>
                <w:color w:val="000000"/>
                <w:sz w:val="24"/>
                <w:highlight w:val="none"/>
              </w:rPr>
            </w:r>
            <w:r/>
          </w:p>
        </w:tc>
        <w:tc>
          <w:tcPr>
            <w:tcW w:w="676" w:type="dxa"/>
            <w:vAlign w:val="center"/>
            <w:textDirection w:val="lrTb"/>
            <w:noWrap w:val="false"/>
          </w:tcPr>
          <w:p>
            <w:pPr>
              <w:pStyle w:val="1072"/>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政府采购政策功能性得分</w:t>
            </w:r>
            <w:r>
              <w:rPr>
                <w:rFonts w:ascii="宋体" w:hAnsi="宋体" w:cs="宋体"/>
                <w:color w:val="000000"/>
                <w:sz w:val="24"/>
                <w:highlight w:val="none"/>
              </w:rPr>
            </w:r>
            <w:r/>
          </w:p>
        </w:tc>
        <w:tc>
          <w:tcPr>
            <w:tcW w:w="475" w:type="dxa"/>
            <w:vAlign w:val="center"/>
            <w:textDirection w:val="lrTb"/>
            <w:noWrap w:val="false"/>
          </w:tcPr>
          <w:p>
            <w:pPr>
              <w:pStyle w:val="1072"/>
              <w:ind w:firstLine="2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993" w:type="dxa"/>
            <w:vAlign w:val="center"/>
            <w:textDirection w:val="lrTb"/>
            <w:noWrap w:val="false"/>
          </w:tcPr>
          <w:p>
            <w:pPr>
              <w:pStyle w:val="1251"/>
              <w:spacing w:line="360" w:lineRule="exact"/>
              <w:rPr>
                <w:rFonts w:ascii="宋体" w:hAnsi="宋体" w:cs="宋体"/>
                <w:color w:val="000000"/>
                <w:highlight w:val="none"/>
              </w:rPr>
            </w:pPr>
            <w:r>
              <w:rPr>
                <w:rFonts w:hint="eastAsia" w:ascii="宋体" w:hAnsi="宋体" w:cs="宋体"/>
                <w:color w:val="000000"/>
                <w:highlight w:val="none"/>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ascii="宋体" w:hAnsi="宋体" w:cs="宋体"/>
                <w:color w:val="000000"/>
                <w:highlight w:val="none"/>
              </w:rPr>
            </w:r>
            <w:r/>
          </w:p>
        </w:tc>
        <w:tc>
          <w:tcPr>
            <w:tcW w:w="1340" w:type="dxa"/>
            <w:vAlign w:val="center"/>
            <w:textDirection w:val="lrTb"/>
            <w:noWrap w:val="false"/>
          </w:tcPr>
          <w:p>
            <w:pPr>
              <w:pStyle w:val="1072"/>
              <w:spacing w:line="360" w:lineRule="auto"/>
              <w:widowControl/>
              <w:tabs>
                <w:tab w:val="left" w:pos="1200" w:leader="none"/>
              </w:tabs>
              <w:rPr>
                <w:rFonts w:ascii="宋体" w:hAnsi="宋体" w:cs="宋体"/>
                <w:color w:val="000000"/>
                <w:sz w:val="24"/>
                <w:highlight w:val="none"/>
              </w:rPr>
            </w:pPr>
            <w:r>
              <w:rPr>
                <w:rFonts w:ascii="宋体" w:hAnsi="宋体" w:cs="宋体"/>
                <w:color w:val="000000"/>
                <w:sz w:val="24"/>
                <w:highlight w:val="none"/>
              </w:rPr>
            </w:r>
            <w:r/>
          </w:p>
        </w:tc>
      </w:tr>
      <w:tr>
        <w:trPr>
          <w:trHeight w:val="170"/>
        </w:trPr>
        <w:tc>
          <w:tcPr>
            <w:gridSpan w:val="2"/>
            <w:tcW w:w="221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合计</w:t>
            </w:r>
            <w:r>
              <w:rPr>
                <w:rFonts w:ascii="宋体" w:hAnsi="宋体"/>
                <w:color w:val="000000"/>
                <w:sz w:val="24"/>
                <w:highlight w:val="none"/>
              </w:rPr>
            </w:r>
            <w:r/>
          </w:p>
        </w:tc>
        <w:tc>
          <w:tcPr>
            <w:tcW w:w="475" w:type="dxa"/>
            <w:vAlign w:val="center"/>
            <w:textDirection w:val="lrTb"/>
            <w:noWrap w:val="false"/>
          </w:tcPr>
          <w:p>
            <w:pPr>
              <w:pStyle w:val="1072"/>
              <w:ind w:firstLine="28"/>
              <w:jc w:val="center"/>
              <w:rPr>
                <w:rFonts w:ascii="宋体" w:hAnsi="宋体"/>
                <w:color w:val="000000"/>
                <w:sz w:val="24"/>
                <w:highlight w:val="none"/>
              </w:rPr>
            </w:pPr>
            <w:r>
              <w:rPr>
                <w:rFonts w:ascii="宋体" w:hAnsi="宋体"/>
                <w:color w:val="000000"/>
                <w:sz w:val="24"/>
                <w:highlight w:val="none"/>
              </w:rPr>
              <w:t xml:space="preserve">100</w:t>
            </w:r>
            <w:r>
              <w:rPr>
                <w:rFonts w:ascii="宋体" w:hAnsi="宋体"/>
                <w:color w:val="000000"/>
                <w:sz w:val="24"/>
                <w:highlight w:val="none"/>
              </w:rPr>
            </w:r>
            <w:r/>
          </w:p>
        </w:tc>
        <w:tc>
          <w:tcPr>
            <w:gridSpan w:val="2"/>
            <w:tcW w:w="6191" w:type="dxa"/>
            <w:vAlign w:val="center"/>
            <w:textDirection w:val="lrTb"/>
            <w:noWrap w:val="false"/>
          </w:tcPr>
          <w:p>
            <w:pPr>
              <w:pStyle w:val="1072"/>
              <w:rPr>
                <w:rFonts w:ascii="宋体" w:hAnsi="宋体"/>
                <w:color w:val="000000"/>
                <w:sz w:val="24"/>
                <w:highlight w:val="none"/>
              </w:rPr>
            </w:pPr>
            <w:r>
              <w:rPr>
                <w:rFonts w:ascii="宋体" w:hAnsi="宋体"/>
                <w:color w:val="000000"/>
                <w:sz w:val="24"/>
                <w:highlight w:val="none"/>
              </w:rPr>
            </w:r>
            <w:r/>
          </w:p>
        </w:tc>
      </w:tr>
    </w:tbl>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10" w:name="_Toc99301424"/>
      <w:r>
        <w:rPr>
          <w:rFonts w:ascii="宋体" w:hAnsi="宋体"/>
          <w:b/>
          <w:color w:val="000000"/>
          <w:sz w:val="36"/>
          <w:szCs w:val="36"/>
          <w:highlight w:val="none"/>
        </w:rPr>
        <w:t xml:space="preserve">第五章   采购需求</w:t>
      </w:r>
      <w:bookmarkEnd w:id="810"/>
      <w:r>
        <w:rPr>
          <w:rFonts w:ascii="宋体" w:hAnsi="宋体"/>
          <w:b/>
          <w:color w:val="000000"/>
          <w:sz w:val="36"/>
          <w:szCs w:val="36"/>
          <w:highlight w:val="none"/>
        </w:rPr>
      </w:r>
      <w:r/>
    </w:p>
    <w:p>
      <w:pPr>
        <w:pStyle w:val="1072"/>
        <w:ind w:firstLine="482"/>
        <w:jc w:val="left"/>
        <w:spacing w:line="360" w:lineRule="auto"/>
        <w:rPr>
          <w:rFonts w:hint="eastAsia" w:ascii="宋体" w:hAnsi="宋体" w:cs="宋体"/>
          <w:b/>
          <w:color w:val="000000"/>
          <w:sz w:val="24"/>
          <w:highlight w:val="none"/>
          <w:lang w:bidi="ar"/>
        </w:rPr>
      </w:pPr>
      <w:r>
        <w:rPr>
          <w:rFonts w:hint="eastAsia" w:ascii="宋体" w:hAnsi="宋体"/>
          <w:b/>
          <w:bCs/>
          <w:i/>
          <w:iCs/>
          <w:color w:val="000000"/>
          <w:sz w:val="24"/>
          <w:highlight w:val="none"/>
        </w:rPr>
        <w:t xml:space="preserve">（采购需求中标注“★”项条款，均为实质性要求，必须满足并响应，按要求提供有关材料，未响应或未按要求提供有关材料的，其投标无效。）</w:t>
      </w:r>
      <w:r>
        <w:rPr>
          <w:rFonts w:hint="eastAsia" w:ascii="宋体" w:hAnsi="宋体" w:cs="宋体"/>
          <w:b/>
          <w:color w:val="000000"/>
          <w:sz w:val="24"/>
          <w:highlight w:val="none"/>
          <w:lang w:bidi="ar"/>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一、项目概况</w:t>
      </w:r>
      <w:r>
        <w:rPr>
          <w:rFonts w:ascii="宋体" w:hAnsi="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s="宋体"/>
          <w:color w:val="000000"/>
          <w:sz w:val="24"/>
          <w:highlight w:val="none"/>
          <w:lang w:bidi="ar"/>
        </w:rPr>
        <w:t xml:space="preserve">本项目为</w:t>
      </w:r>
      <w:r>
        <w:rPr>
          <w:rFonts w:hint="eastAsia" w:ascii="宋体" w:hAnsi="宋体" w:cs="宋体"/>
          <w:color w:val="000000"/>
          <w:sz w:val="24"/>
          <w:highlight w:val="none"/>
          <w:lang w:eastAsia="zh-CN" w:bidi="ar"/>
        </w:rPr>
        <w:t xml:space="preserve">常州市武进区疾病预防控制中心全自动流动注射仪</w:t>
      </w:r>
      <w:r>
        <w:rPr>
          <w:rFonts w:hint="eastAsia" w:ascii="宋体" w:hAnsi="宋体" w:cs="宋体"/>
          <w:color w:val="000000"/>
          <w:sz w:val="24"/>
          <w:highlight w:val="none"/>
          <w:lang w:bidi="ar"/>
        </w:rPr>
        <w:t xml:space="preserve">采购项目，具体内容包括：设备的制造（采购）、运输、装卸、安装、调试、测试、售后服务、技术培训等，直至通过采购单位及其他相关部门的验收以及质量保修、免费维保等全部工作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二、基本要求</w:t>
      </w:r>
      <w:r>
        <w:rPr>
          <w:rFonts w:ascii="宋体" w:hAnsi="宋体"/>
          <w:b/>
          <w:color w:val="000000"/>
          <w:sz w:val="24"/>
          <w:highlight w:val="none"/>
        </w:rPr>
      </w:r>
      <w:r/>
    </w:p>
    <w:p>
      <w:pPr>
        <w:pStyle w:val="1072"/>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ascii="宋体" w:hAnsi="宋体"/>
          <w:color w:val="000000"/>
          <w:sz w:val="24"/>
          <w:highlight w:val="none"/>
        </w:rPr>
      </w:r>
      <w:r/>
    </w:p>
    <w:p>
      <w:pPr>
        <w:pStyle w:val="1167"/>
        <w:contextualSpacing/>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2.投标人应保证采购人在使用其所供货物时不受第三方提出侵犯其专利权、著作权和工业产权等知识产权的起 诉。一旦出现侵权，一律由供应商承担全部责任。同时，供应商对采购人采购的货物所涉及的技术、产能等信息负有保密义务。</w:t>
      </w:r>
      <w:r>
        <w:rPr>
          <w:rFonts w:hint="eastAsia" w:ascii="宋体" w:hAnsi="宋体"/>
          <w:color w:val="000000"/>
          <w:sz w:val="24"/>
          <w:highlight w:val="none"/>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三、采购清单</w:t>
      </w:r>
      <w:r>
        <w:rPr>
          <w:rFonts w:ascii="宋体" w:hAnsi="宋体"/>
          <w:b/>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099"/>
        <w:gridCol w:w="1241"/>
        <w:gridCol w:w="4958"/>
      </w:tblGrid>
      <w:tr>
        <w:trPr>
          <w:trHeight w:val="333"/>
        </w:trPr>
        <w:tc>
          <w:tcPr>
            <w:tcW w:w="531" w:type="dxa"/>
            <w:vAlign w:val="center"/>
            <w:textDirection w:val="lrTb"/>
            <w:noWrap w:val="false"/>
          </w:tcPr>
          <w:p>
            <w:pPr>
              <w:pStyle w:val="1072"/>
              <w:jc w:val="center"/>
              <w:spacing w:line="3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序号</w:t>
            </w:r>
            <w:r>
              <w:rPr>
                <w:rFonts w:hint="eastAsia" w:ascii="宋体" w:hAnsi="宋体"/>
                <w:color w:val="000000"/>
                <w:sz w:val="24"/>
                <w:szCs w:val="20"/>
                <w:highlight w:val="none"/>
              </w:rPr>
            </w:r>
            <w:r/>
          </w:p>
        </w:tc>
        <w:tc>
          <w:tcPr>
            <w:tcW w:w="1130"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设备</w:t>
            </w:r>
            <w:r>
              <w:rPr>
                <w:rFonts w:ascii="宋体" w:hAnsi="宋体"/>
                <w:color w:val="000000"/>
                <w:sz w:val="24"/>
                <w:szCs w:val="20"/>
                <w:highlight w:val="none"/>
              </w:rPr>
              <w:t xml:space="preserve">名称</w:t>
            </w:r>
            <w:r>
              <w:rPr>
                <w:rFonts w:ascii="宋体" w:hAnsi="宋体"/>
                <w:color w:val="000000"/>
                <w:sz w:val="24"/>
                <w:szCs w:val="20"/>
                <w:highlight w:val="none"/>
              </w:rPr>
            </w:r>
            <w:r/>
          </w:p>
        </w:tc>
        <w:tc>
          <w:tcPr>
            <w:tcW w:w="668"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数量</w:t>
            </w:r>
            <w:r>
              <w:rPr>
                <w:rFonts w:ascii="宋体" w:hAnsi="宋体"/>
                <w:color w:val="000000"/>
                <w:sz w:val="24"/>
                <w:szCs w:val="20"/>
                <w:highlight w:val="none"/>
              </w:rPr>
            </w:r>
            <w:r/>
          </w:p>
        </w:tc>
        <w:tc>
          <w:tcPr>
            <w:tcW w:w="2669" w:type="dxa"/>
            <w:vAlign w:val="center"/>
            <w:textDirection w:val="lrTb"/>
            <w:noWrap w:val="false"/>
          </w:tcPr>
          <w:p>
            <w:pPr>
              <w:pStyle w:val="1072"/>
              <w:jc w:val="center"/>
              <w:spacing w:line="360" w:lineRule="exact"/>
              <w:rPr>
                <w:rFonts w:hint="eastAsia" w:ascii="宋体" w:hAnsi="宋体" w:eastAsia="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配置</w:t>
            </w:r>
            <w:r>
              <w:rPr>
                <w:rFonts w:hint="eastAsia" w:ascii="宋体" w:hAnsi="宋体" w:eastAsia="宋体" w:cs="宋体"/>
                <w:color w:val="000000"/>
                <w:sz w:val="24"/>
                <w:highlight w:val="none"/>
                <w:lang w:val="en-US" w:eastAsia="zh-CN" w:bidi="ar"/>
              </w:rPr>
            </w:r>
            <w:r/>
          </w:p>
        </w:tc>
      </w:tr>
      <w:tr>
        <w:trPr/>
        <w:tc>
          <w:tcPr>
            <w:tcW w:w="531" w:type="dxa"/>
            <w:vAlign w:val="center"/>
            <w:textDirection w:val="lrTb"/>
            <w:noWrap w:val="false"/>
          </w:tcPr>
          <w:p>
            <w:pPr>
              <w:pStyle w:val="1072"/>
              <w:jc w:val="center"/>
              <w:spacing w:line="36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1130" w:type="dxa"/>
            <w:vAlign w:val="center"/>
            <w:textDirection w:val="lrTb"/>
            <w:noWrap w:val="false"/>
          </w:tcPr>
          <w:p>
            <w:pPr>
              <w:pStyle w:val="1072"/>
              <w:jc w:val="center"/>
              <w:spacing w:line="360" w:lineRule="exact"/>
              <w:rPr>
                <w:rFonts w:hint="eastAsia" w:ascii="宋体" w:hAnsi="宋体" w:eastAsia="宋体"/>
                <w:color w:val="000000"/>
                <w:sz w:val="24"/>
                <w:szCs w:val="20"/>
                <w:highlight w:val="none"/>
                <w:lang w:eastAsia="zh-CN"/>
              </w:rPr>
            </w:pPr>
            <w:r>
              <w:rPr>
                <w:rFonts w:hint="eastAsia" w:ascii="宋体" w:hAnsi="宋体"/>
                <w:color w:val="000000"/>
                <w:sz w:val="24"/>
                <w:highlight w:val="none"/>
                <w:lang w:eastAsia="zh-CN"/>
              </w:rPr>
              <w:t xml:space="preserve">全自动流动注射仪</w:t>
            </w:r>
            <w:r>
              <w:rPr>
                <w:rFonts w:hint="eastAsia" w:ascii="宋体" w:hAnsi="宋体" w:eastAsia="宋体"/>
                <w:color w:val="000000"/>
                <w:sz w:val="24"/>
                <w:szCs w:val="20"/>
                <w:highlight w:val="none"/>
                <w:lang w:eastAsia="zh-CN"/>
              </w:rPr>
            </w:r>
            <w:r/>
          </w:p>
        </w:tc>
        <w:tc>
          <w:tcPr>
            <w:tcW w:w="668" w:type="dxa"/>
            <w:vAlign w:val="center"/>
            <w:textDirection w:val="lrTb"/>
            <w:noWrap w:val="false"/>
          </w:tcPr>
          <w:p>
            <w:pPr>
              <w:pStyle w:val="1072"/>
              <w:jc w:val="center"/>
              <w:spacing w:line="360" w:lineRule="exact"/>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1套</w:t>
            </w:r>
            <w:r>
              <w:rPr>
                <w:rFonts w:hint="eastAsia" w:ascii="宋体" w:hAnsi="宋体" w:eastAsia="宋体"/>
                <w:color w:val="000000"/>
                <w:sz w:val="24"/>
                <w:szCs w:val="20"/>
                <w:highlight w:val="none"/>
                <w:lang w:eastAsia="zh-CN"/>
              </w:rPr>
            </w:r>
            <w:r/>
          </w:p>
        </w:tc>
        <w:tc>
          <w:tcPr>
            <w:tcW w:w="2669" w:type="dxa"/>
            <w:vAlign w:val="center"/>
            <w:textDirection w:val="lrTb"/>
            <w:noWrap w:val="false"/>
          </w:tcPr>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1、双针同时取样自动进样器1 台</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2、高精度泵    2个</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3、主机彩色显示屏幕  1 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4、高解析度数字式检测器  2通道</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5、氰化物化学反应模块  1 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6、挥发酚化学反应模块  1 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7、原厂独立蒸馏器      1套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8、挥发酚氮气吹扫装置   1套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9、阴离子洗涤剂反应模块   1套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10、氨氮分析模块          1套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11、无人值守自动开机关机系统   1套</w:t>
            </w:r>
            <w:r>
              <w:rPr>
                <w:rFonts w:hint="eastAsia" w:ascii="宋体" w:hAnsi="宋体" w:cs="宋体"/>
                <w:color w:val="000000"/>
                <w:sz w:val="24"/>
                <w:highlight w:val="none"/>
                <w:lang w:bidi="ar"/>
              </w:rPr>
            </w:r>
            <w:r/>
          </w:p>
          <w:p>
            <w:pPr>
              <w:pStyle w:val="1072"/>
              <w:jc w:val="left"/>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12 </w:t>
            </w:r>
            <w:r>
              <w:rPr>
                <w:rFonts w:hint="eastAsia" w:ascii="宋体" w:hAnsi="宋体" w:cs="宋体"/>
                <w:color w:val="000000"/>
                <w:sz w:val="24"/>
                <w:highlight w:val="none"/>
                <w:lang w:val="en-US" w:eastAsia="zh-CN" w:bidi="ar"/>
              </w:rPr>
              <w:t xml:space="preserve">配套</w:t>
            </w:r>
            <w:r>
              <w:rPr>
                <w:rFonts w:hint="eastAsia" w:ascii="宋体" w:hAnsi="宋体" w:cs="宋体"/>
                <w:color w:val="000000"/>
                <w:sz w:val="24"/>
                <w:highlight w:val="none"/>
                <w:lang w:bidi="ar"/>
              </w:rPr>
              <w:t xml:space="preserve">处理工作站及打印设备</w:t>
            </w:r>
            <w:r>
              <w:rPr>
                <w:rFonts w:hint="eastAsia" w:ascii="宋体" w:hAnsi="宋体" w:cs="宋体"/>
                <w:color w:val="000000"/>
                <w:sz w:val="24"/>
                <w:highlight w:val="none"/>
                <w:lang w:bidi="ar"/>
              </w:rPr>
            </w:r>
            <w:r/>
          </w:p>
        </w:tc>
      </w:tr>
    </w:tbl>
    <w:p>
      <w:pPr>
        <w:pStyle w:val="1072"/>
        <w:numPr>
          <w:ilvl w:val="0"/>
          <w:numId w:val="14"/>
        </w:numPr>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技术要求</w:t>
      </w:r>
      <w:r>
        <w:rPr>
          <w:rFonts w:hint="eastAsia" w:ascii="宋体" w:hAnsi="宋体"/>
          <w:b/>
          <w:color w:val="000000"/>
          <w:sz w:val="24"/>
          <w:highlight w:val="none"/>
        </w:rPr>
      </w:r>
      <w:r/>
    </w:p>
    <w:p>
      <w:pPr>
        <w:pStyle w:val="1072"/>
        <w:numPr>
          <w:ilvl w:val="0"/>
          <w:numId w:val="0"/>
        </w:numPr>
        <w:ind w:firstLine="482"/>
        <w:jc w:val="left"/>
        <w:spacing w:line="360" w:lineRule="auto"/>
        <w:rPr>
          <w:rFonts w:hint="eastAsia" w:ascii="宋体" w:hAnsi="宋体"/>
          <w:b/>
          <w:bCs w:val="0"/>
          <w:i/>
          <w:iCs/>
          <w:color w:val="000000"/>
          <w:sz w:val="24"/>
          <w:highlight w:val="none"/>
        </w:rPr>
      </w:pPr>
      <w:r>
        <w:rPr>
          <w:rFonts w:hint="eastAsia" w:ascii="宋体" w:hAnsi="宋体"/>
          <w:b/>
          <w:bCs w:val="0"/>
          <w:i/>
          <w:iCs/>
          <w:color w:val="000000"/>
          <w:sz w:val="24"/>
          <w:highlight w:val="none"/>
        </w:rPr>
        <w:t xml:space="preserve">★1、仪器原理及用途</w:t>
      </w:r>
      <w:r>
        <w:rPr>
          <w:rFonts w:hint="eastAsia" w:ascii="宋体" w:hAnsi="宋体"/>
          <w:b/>
          <w:bCs w:val="0"/>
          <w:i/>
          <w:iCs/>
          <w:color w:val="000000"/>
          <w:sz w:val="24"/>
          <w:highlight w:val="none"/>
        </w:rPr>
      </w:r>
      <w:r/>
    </w:p>
    <w:p>
      <w:pPr>
        <w:pStyle w:val="1072"/>
        <w:ind w:firstLine="482"/>
        <w:jc w:val="left"/>
        <w:spacing w:line="360" w:lineRule="auto"/>
        <w:rPr>
          <w:rFonts w:hint="eastAsia" w:ascii="宋体" w:hAnsi="宋体"/>
          <w:b w:val="0"/>
          <w:bCs/>
          <w:color w:val="000000"/>
          <w:sz w:val="24"/>
          <w:highlight w:val="none"/>
        </w:rPr>
      </w:pPr>
      <w:r>
        <w:rPr>
          <w:rFonts w:hint="eastAsia" w:ascii="宋体" w:hAnsi="宋体"/>
          <w:b/>
          <w:bCs w:val="0"/>
          <w:i/>
          <w:iCs/>
          <w:color w:val="000000"/>
          <w:sz w:val="24"/>
          <w:highlight w:val="none"/>
        </w:rPr>
        <w:t xml:space="preserve">采用气泡间隔的连续流动分析(CFA)化学反应原理。用于生活饮用水中氰化物、挥发酚、阴离子洗涤剂和氨氮等的自动分析。满足GB5750-2023连续流动分析法等相关标准要求。</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2、化学反应单元</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▲2.1 化学分析主机内嵌触控彩屏，包括但不限于如下功能：开机自检扫描硬件并显示每个核心硬件健康运行状态、调节各反应器温度和显示实时温度、显示泵管/灯源寿命信息和到期维护保养时间、主机IP地址（便于远程控制）、监测到漏液自动弹出三角危险警告并立马停机。（提供厂家盖章的实物图片证明资料，并在图片上把本技术条款各项要求每个部分清晰标注出来，视为满足该项指标要求）</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2.2 主机内置的触控彩屏，触控屏自带微处理控制系统，主机开机后具有自诊断功能；内置的触控屏与外置的主机控制电脑软件同时工作双控仪器；自检检测功能可及时发现漏液等异常情况（提供实物图片证明）。</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eastAsia="宋体"/>
          <w:b w:val="0"/>
          <w:bCs/>
          <w:color w:val="000000"/>
          <w:sz w:val="24"/>
          <w:highlight w:val="none"/>
          <w:lang w:eastAsia="zh-CN"/>
        </w:rPr>
      </w:pPr>
      <w:r>
        <w:rPr>
          <w:rFonts w:hint="eastAsia" w:ascii="宋体" w:hAnsi="宋体"/>
          <w:b w:val="0"/>
          <w:bCs/>
          <w:color w:val="000000"/>
          <w:sz w:val="24"/>
          <w:highlight w:val="none"/>
        </w:rPr>
        <w:t xml:space="preserve">2.3 化学主机通道数：≥5通道，配置的所有化学模块且全部放置在同一个主机内（不可化学模块在多台化学主机内）。采用网络接口DHCP 通讯控制所有部件</w:t>
      </w:r>
      <w:r>
        <w:rPr>
          <w:rFonts w:hint="eastAsia" w:ascii="宋体" w:hAnsi="宋体"/>
          <w:b w:val="0"/>
          <w:bCs/>
          <w:color w:val="000000"/>
          <w:sz w:val="24"/>
          <w:highlight w:val="none"/>
          <w:lang w:eastAsia="zh-CN"/>
        </w:rPr>
        <w:t xml:space="preserve">。</w:t>
      </w:r>
      <w:r>
        <w:rPr>
          <w:rFonts w:hint="eastAsia" w:ascii="宋体" w:hAnsi="宋体" w:eastAsia="宋体"/>
          <w:b w:val="0"/>
          <w:bCs/>
          <w:color w:val="000000"/>
          <w:sz w:val="24"/>
          <w:highlight w:val="none"/>
          <w:lang w:eastAsia="zh-CN"/>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3、全自动进样器</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3.1 双进样针同时取样；有效样品位≥100位。</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3.2 为防止进样针清洗池意外溢出或干涸，进样针清洗水管和清洗排废水管使用同一个清洗泵驱动， 确保清洗给水和排污无同步误差，即采用多通道清洗泵及动态清洗池，泵位≥4位（提供4位清洗泵图片证明）。</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4、高精度蠕动泵</w:t>
      </w:r>
      <w:r>
        <w:rPr>
          <w:rFonts w:hint="eastAsia" w:ascii="宋体" w:hAnsi="宋体"/>
          <w:b w:val="0"/>
          <w:bCs/>
          <w:color w:val="000000"/>
          <w:sz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4.1 高精度蠕动泵≥1台，专用于进样和试剂通道，泵管为三卡双桥泵管，蠕动泵泵管位数≥30位，泵速既可通过主机内置的触控屏多档调节，也可通过计算机软件程序自带调节（提供触控屏调速界面、三卡双桥泵管照片等证明文件）。</w:t>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4. 2 蠕动泵须具有不锈钢泵盖，可涂抹润滑脂；不接受塑料泵盖或塑料压块。</w:t>
      </w:r>
      <w:r>
        <w:rPr>
          <w:rFonts w:hint="eastAsia" w:ascii="宋体" w:hAnsi="宋体"/>
          <w:b w:val="0"/>
          <w:bCs/>
          <w:color w:val="000000"/>
          <w:sz w:val="24"/>
          <w:highlight w:val="none"/>
        </w:rPr>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▲4. 3 具有空气注射泵≥1台，专用于气泡注入，即空气注入管线和试剂/样品管线不共用蠕动泵，其单台空气泵管位数≥10位，自带精密压力调节（范围：0-1.5Bar）的微型电子空压机为空气注射泵提供稳定气源。试剂泵管和空气硅胶管不压在同一个泵上，主机具有侧面磁吸开关易拉门或者正面抽屉式开关门，便于维护（提供蠕动泵管和试剂泵管分开的主机俯视图照片和主机正面或侧面可开门图片证明。）。</w:t>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▲5、双通道高精度数字式检测器</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高精度32 位数字式检测器，提供能体现32 位数字检测器工作站软件截图证明。采用卤钨灯光源，不接受LED 等其他类型光源。基线调节和灵敏度由软件控制，具有稳定信号和样品背景校正功能；波长范围：340-1100nm；分辨率＜0.0003AU，检测范围可达5.0AU。</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6、分析软件及数据处理器系统</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6.1 分析软件可在中文Win10 或以上操作系统中运行；提供中文版操作软件，分析软件符合良好实验室(GLP/CLP)规范，分析结果可输出到LIMS 或转化到微软Excel格式，用户也可根据需要自定生成的报告格式；</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6.2 软件可对系统中每个部件进行独立控制，包括取样器、试剂控制阀、蠕动泵、化学处理部件(如反应加热器和蒸馏装置)、检测器和无人监控装置；</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6.3 实时显示分析已进行的时间、预计剩余时间、吸光度及样品信息、样品浓度、检出限、相关系数等信息。</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▲6.4、所投产品具有程序设置开机关机及试剂清洗功能。提供可以程序开关机的软件截图证明及无人值守外置式≥10路原厂试剂切换阀实物照片。</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7、检测方法及技术指标</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7.1、挥发酚</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7.1.1 分析原理：4-氨基安替比林分光光度法；</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7.1.2 量程范围：(0.001～0.1)mg /L；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7.1.3 检测限：≤0.001mg/L</w:t>
      </w:r>
      <w:r>
        <w:rPr>
          <w:rFonts w:hint="eastAsia" w:ascii="宋体" w:hAnsi="宋体"/>
          <w:b w:val="0"/>
          <w:bCs/>
          <w:color w:val="000000"/>
          <w:sz w:val="24"/>
          <w:highlight w:val="none"/>
        </w:rPr>
      </w:r>
      <w:r/>
    </w:p>
    <w:p>
      <w:pPr>
        <w:pStyle w:val="1072"/>
        <w:ind w:firstLine="482"/>
        <w:jc w:val="left"/>
        <w:spacing w:line="360" w:lineRule="auto"/>
        <w:rPr>
          <w:rFonts w:hint="eastAsia" w:ascii="宋体" w:hAnsi="宋体"/>
          <w:b/>
          <w:bCs w:val="0"/>
          <w:i/>
          <w:iCs/>
          <w:color w:val="000000"/>
          <w:sz w:val="24"/>
          <w:highlight w:val="none"/>
        </w:rPr>
      </w:pPr>
      <w:r>
        <w:rPr>
          <w:rFonts w:hint="eastAsia" w:ascii="宋体" w:hAnsi="宋体"/>
          <w:b/>
          <w:bCs w:val="0"/>
          <w:i/>
          <w:iCs/>
          <w:color w:val="000000"/>
          <w:sz w:val="24"/>
          <w:highlight w:val="none"/>
        </w:rPr>
        <w:t xml:space="preserve">★7.1.4反应要求：采用氮气吹扫捕集式在线单通道蒸馏装置,配独立的蒸馏器。</w:t>
      </w:r>
      <w:r>
        <w:rPr>
          <w:rFonts w:hint="eastAsia" w:ascii="宋体" w:hAnsi="宋体"/>
          <w:b/>
          <w:bCs w:val="0"/>
          <w:i/>
          <w:iCs/>
          <w:color w:val="000000"/>
          <w:sz w:val="24"/>
          <w:highlight w:val="none"/>
          <w:lang w:eastAsia="zh-CN"/>
        </w:rPr>
        <w:t xml:space="preserve">（</w:t>
      </w:r>
      <w:r>
        <w:rPr>
          <w:rFonts w:hint="eastAsia" w:ascii="宋体" w:hAnsi="宋体"/>
          <w:b/>
          <w:bCs w:val="0"/>
          <w:i/>
          <w:iCs/>
          <w:color w:val="000000"/>
          <w:sz w:val="24"/>
          <w:highlight w:val="none"/>
        </w:rPr>
        <w:t xml:space="preserve">提供氮气吹扫装置实物照片</w:t>
      </w:r>
      <w:r>
        <w:rPr>
          <w:rFonts w:hint="eastAsia" w:ascii="宋体" w:hAnsi="宋体"/>
          <w:b/>
          <w:bCs w:val="0"/>
          <w:i/>
          <w:iCs/>
          <w:color w:val="000000"/>
          <w:sz w:val="24"/>
          <w:highlight w:val="none"/>
          <w:lang w:eastAsia="zh-CN"/>
        </w:rPr>
        <w:t xml:space="preserve">）</w:t>
      </w:r>
      <w:r>
        <w:rPr>
          <w:rFonts w:hint="eastAsia" w:ascii="宋体" w:hAnsi="宋体"/>
          <w:b/>
          <w:bCs w:val="0"/>
          <w:i/>
          <w:i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7.2、氰化物</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7.2.1 分析原理：异烟酸巴比妥酸分光光度法；</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7.2.2 量程范围：(0.001～0.1)mg /L；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7.2.3 检测限：≤0.001 mg/L；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▲7.2.4 要求具有HCN气体泄漏保护装置，提供外置吸收泵实物照片。</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7.3、阴离子洗涤剂</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7.3.1 分析原理：亚甲基蓝分光光度法；</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7.3.2 量程范围：0.02－2mg/L；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7.3.3 检测限：≤0.02 mg/L；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▲7.3.4 要求具有二次萃取系统，具有恒温萃取装置。具有玻璃相分离器，不接受易腐蚀的塑料相分离器。（提供玻璃相分离器实物照片）。</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7.4、氨氮</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7.4.1 分析原理：水杨酸分光光度法；</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7.4.2 量程范围：0.01－5mg/L；</w:t>
      </w:r>
      <w:r>
        <w:rPr>
          <w:rFonts w:hint="eastAsia" w:ascii="宋体" w:hAnsi="宋体"/>
          <w:b w:val="0"/>
          <w:bCs/>
          <w:color w:val="000000"/>
          <w:sz w:val="24"/>
          <w:highlight w:val="none"/>
        </w:rPr>
      </w:r>
      <w:r/>
    </w:p>
    <w:p>
      <w:pPr>
        <w:pStyle w:val="1072"/>
        <w:ind w:firstLine="480"/>
        <w:jc w:val="left"/>
        <w:spacing w:line="360" w:lineRule="auto"/>
        <w:rPr>
          <w:rFonts w:hint="eastAsia" w:ascii="宋体" w:hAnsi="宋体"/>
          <w:b w:val="0"/>
          <w:bCs/>
          <w:color w:val="000000"/>
          <w:sz w:val="24"/>
          <w:highlight w:val="none"/>
        </w:rPr>
      </w:pPr>
      <w:r>
        <w:rPr>
          <w:rFonts w:hint="eastAsia" w:ascii="宋体" w:hAnsi="宋体"/>
          <w:b w:val="0"/>
          <w:bCs/>
          <w:color w:val="000000"/>
          <w:sz w:val="24"/>
          <w:highlight w:val="none"/>
        </w:rPr>
        <w:t xml:space="preserve">7.4.3 检测限：≤0.01 mg/L；</w:t>
      </w:r>
      <w:r>
        <w:rPr>
          <w:rFonts w:hint="eastAsia" w:ascii="宋体" w:hAnsi="宋体"/>
          <w:b w:val="0"/>
          <w:bCs/>
          <w:color w:val="000000"/>
          <w:sz w:val="24"/>
          <w:highlight w:val="none"/>
        </w:rPr>
      </w:r>
      <w:r/>
    </w:p>
    <w:p>
      <w:pPr>
        <w:pStyle w:val="1072"/>
        <w:ind w:firstLine="482"/>
        <w:jc w:val="left"/>
        <w:spacing w:line="360" w:lineRule="auto"/>
        <w:rPr>
          <w:rFonts w:ascii="宋体" w:hAnsi="宋体" w:eastAsia="宋体"/>
          <w:b w:val="0"/>
          <w:bCs/>
          <w:i/>
          <w:iCs/>
          <w:color w:val="000000"/>
          <w:sz w:val="24"/>
          <w:highlight w:val="none"/>
          <w:lang w:val="en-US" w:eastAsia="zh-CN"/>
        </w:rPr>
      </w:pPr>
      <w:r>
        <w:rPr>
          <w:rFonts w:hint="eastAsia" w:ascii="宋体" w:hAnsi="宋体"/>
          <w:b/>
          <w:bCs/>
          <w:i/>
          <w:iCs/>
          <w:color w:val="000000"/>
          <w:sz w:val="24"/>
          <w:highlight w:val="none"/>
        </w:rPr>
        <w:t xml:space="preserve">★</w:t>
      </w:r>
      <w:r>
        <w:rPr>
          <w:rFonts w:hint="eastAsia" w:ascii="宋体" w:hAnsi="宋体"/>
          <w:b/>
          <w:bCs w:val="0"/>
          <w:i/>
          <w:iCs/>
          <w:color w:val="000000"/>
          <w:sz w:val="24"/>
          <w:highlight w:val="none"/>
          <w:lang w:val="en-US" w:eastAsia="zh-CN"/>
        </w:rPr>
        <w:t xml:space="preserve">8.中标后，采购人有权要求成交供应商进行产品功能演示或招标参数性能测试，若产品功能演示或招标参数性能测试达不到采购文件和成交供应商响应文件要求的，存在提供虚假材料情形的，采购人有权取消其成交资格。若剩余合格供应商符合法定数量时，可以从合格的成交候选人中另行确认成交供应商的，应当依法另行确定成交供应商；否则当重新开展采购活动。（提供承诺函，不满足作无效投标处理）</w:t>
      </w:r>
      <w:r>
        <w:rPr>
          <w:rFonts w:ascii="宋体" w:hAnsi="宋体" w:eastAsia="宋体"/>
          <w:b w:val="0"/>
          <w:bCs/>
          <w:i/>
          <w:iCs/>
          <w:color w:val="000000"/>
          <w:sz w:val="24"/>
          <w:highlight w:val="none"/>
          <w:lang w:val="en-US" w:eastAsia="zh-CN"/>
        </w:rPr>
      </w:r>
      <w:r/>
    </w:p>
    <w:p>
      <w:pPr>
        <w:pStyle w:val="1072"/>
        <w:ind w:firstLine="482"/>
        <w:jc w:val="left"/>
        <w:spacing w:line="360" w:lineRule="auto"/>
        <w:rPr>
          <w:rFonts w:ascii="宋体" w:hAnsi="宋体"/>
          <w:b/>
          <w:color w:val="000000"/>
          <w:sz w:val="24"/>
          <w:highlight w:val="none"/>
        </w:rPr>
      </w:pPr>
      <w:r>
        <w:rPr>
          <w:rFonts w:hint="eastAsia" w:ascii="宋体" w:hAnsi="宋体"/>
          <w:b/>
          <w:color w:val="000000"/>
          <w:sz w:val="24"/>
          <w:highlight w:val="none"/>
        </w:rPr>
        <w:t xml:space="preserve">五、报价方式</w:t>
      </w:r>
      <w:r>
        <w:rPr>
          <w:rFonts w:ascii="宋体" w:hAnsi="宋体"/>
          <w:b/>
          <w:color w:val="000000"/>
          <w:sz w:val="24"/>
          <w:highlight w:val="none"/>
        </w:rPr>
      </w:r>
      <w:r/>
    </w:p>
    <w:p>
      <w:pPr>
        <w:pStyle w:val="1072"/>
        <w:ind w:right="210"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color w:val="000000"/>
          <w:sz w:val="24"/>
          <w:highlight w:val="none"/>
          <w:lang w:bidi="ar"/>
        </w:rPr>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六、交货期及交货地点</w:t>
      </w:r>
      <w:r>
        <w:rPr>
          <w:rFonts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olor w:val="000000"/>
          <w:sz w:val="24"/>
          <w:highlight w:val="none"/>
        </w:rPr>
        <w:t xml:space="preserve">合同签订后</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0天</w:t>
      </w:r>
      <w:r>
        <w:rPr>
          <w:rFonts w:hint="eastAsia" w:ascii="宋体" w:hAnsi="宋体"/>
          <w:color w:val="000000"/>
          <w:sz w:val="24"/>
          <w:highlight w:val="none"/>
        </w:rPr>
        <w:t xml:space="preserve">内完成合同范围内所有设备的供货、安装调试。</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2、交货地点：投标人负责将货物运到采购人指定地点和楼层，</w:t>
      </w:r>
      <w:r>
        <w:rPr>
          <w:rFonts w:hint="eastAsia" w:ascii="宋体" w:hAnsi="宋体" w:cs="宋体"/>
          <w:color w:val="000000"/>
          <w:sz w:val="24"/>
          <w:highlight w:val="none"/>
          <w:lang w:bidi="ar"/>
        </w:rPr>
        <w:t xml:space="preserve">安排专业工程师到用户现场进行免费仪器安装、调试，产生的费用由投标人承担</w:t>
      </w:r>
      <w:r>
        <w:rPr>
          <w:rFonts w:hint="eastAsia" w:ascii="宋体" w:hAnsi="宋体" w:cs="宋体"/>
          <w:color w:val="000000"/>
          <w:sz w:val="24"/>
          <w:highlight w:val="none"/>
          <w:lang w:bidi="ar"/>
        </w:rPr>
        <w:t xml:space="preserve">。采购人组织验收，检验不合格或不符合质量要求，投标人除无条件退货、返工外，还应承担采购人的一切损失。</w:t>
      </w:r>
      <w:r>
        <w:rPr>
          <w:rFonts w:hint="eastAsia" w:ascii="宋体" w:hAnsi="宋体" w:cs="宋体"/>
          <w:color w:val="000000"/>
          <w:sz w:val="24"/>
          <w:highlight w:val="none"/>
        </w:rPr>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七、验收标准</w:t>
      </w:r>
      <w:r>
        <w:rPr>
          <w:rFonts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产品到达交货地点后，采购人和中标单位在2日内共同检验产品数量、质量等状况，由中标单位负责并承担相关费用，采购人应积极配合。中标单位进行安装调试并经过性能测试后，由采购人组织联合验收小组验收。验收合格后，双方在《验收报告》上签字确认。</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2.对产品的外观或质量问题，采购人应在发现和应当发现之日起30日内向中标单位提出书面异议，中标单位在接到书面异议后，应当在2日内负责处理。采购人逾期提出的，对所交产品视为符合合同的规定。</w:t>
      </w:r>
      <w:r>
        <w:rPr>
          <w:rFonts w:hint="eastAsia" w:ascii="宋体" w:hAnsi="宋体" w:cs="宋体"/>
          <w:color w:val="000000"/>
          <w:sz w:val="24"/>
          <w:highlight w:val="none"/>
        </w:rPr>
      </w:r>
      <w:r/>
    </w:p>
    <w:p>
      <w:pPr>
        <w:pStyle w:val="1072"/>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lang w:bidi="ar"/>
        </w:rPr>
        <w:t xml:space="preserve">3.经双方共同验收，产品性能参数达不到采购合同要求的，采购人可以拒收，并可以解除合同。</w:t>
      </w:r>
      <w:r>
        <w:rPr>
          <w:rFonts w:ascii="宋体" w:hAnsi="宋体" w:cs="宋体"/>
          <w:color w:val="000000"/>
          <w:sz w:val="24"/>
          <w:highlight w:val="none"/>
        </w:rPr>
      </w:r>
      <w:r/>
    </w:p>
    <w:p>
      <w:pPr>
        <w:pStyle w:val="1072"/>
        <w:ind w:right="210" w:firstLine="482"/>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八、质保期及售后服务</w:t>
      </w:r>
      <w:r>
        <w:rPr>
          <w:rFonts w:ascii="宋体" w:hAnsi="宋体" w:cs="宋体"/>
          <w:b/>
          <w:color w:val="000000"/>
          <w:sz w:val="24"/>
          <w:highlight w:val="none"/>
        </w:rPr>
      </w:r>
      <w:r/>
    </w:p>
    <w:p>
      <w:pPr>
        <w:pStyle w:val="1072"/>
        <w:ind w:firstLine="482"/>
        <w:jc w:val="left"/>
        <w:spacing w:line="360" w:lineRule="auto"/>
        <w:rPr>
          <w:rFonts w:hint="eastAsia" w:ascii="宋体" w:hAnsi="宋体" w:cs="宋体"/>
          <w:color w:val="000000"/>
          <w:sz w:val="24"/>
          <w:highlight w:val="none"/>
        </w:rPr>
      </w:pPr>
      <w:r>
        <w:rPr>
          <w:rFonts w:hint="eastAsia" w:ascii="宋体" w:hAnsi="宋体" w:cs="宋体"/>
          <w:b/>
          <w:color w:val="000000"/>
          <w:sz w:val="24"/>
          <w:highlight w:val="none"/>
          <w:lang w:bidi="ar"/>
        </w:rPr>
        <w:t xml:space="preserve">（一）质保期：</w:t>
      </w:r>
      <w:r>
        <w:rPr>
          <w:rFonts w:hint="eastAsia" w:ascii="宋体" w:hAnsi="宋体" w:cs="宋体"/>
          <w:color w:val="000000"/>
          <w:sz w:val="24"/>
          <w:highlight w:val="none"/>
          <w:lang w:bidi="ar"/>
        </w:rPr>
        <w:t xml:space="preserve">投标人报价时须承诺所供货物免费质保期不少于</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年（自验收报告签字确认日起，开始进入质保期）。中标人对质保期内所发生的设备维护、维修、更换等一切费用负责。质保期内软件免费升级，且不收取软件使用费。</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（二）售后服务</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1.质保期内免费更换零配件（人为损坏除外），质保期满后实行终身有偿维修保养。投标人接到保修请求，维修应在</w:t>
      </w: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小时内响应，</w:t>
      </w:r>
      <w:r>
        <w:rPr>
          <w:rFonts w:hint="eastAsia" w:ascii="宋体" w:hAnsi="宋体" w:cs="宋体"/>
          <w:color w:val="000000"/>
          <w:sz w:val="24"/>
          <w:highlight w:val="none"/>
          <w:lang w:val="en-US" w:eastAsia="zh-CN" w:bidi="ar"/>
        </w:rPr>
        <w:t xml:space="preserve">24</w:t>
      </w:r>
      <w:r>
        <w:rPr>
          <w:rFonts w:hint="eastAsia" w:ascii="宋体" w:hAnsi="宋体" w:cs="宋体"/>
          <w:color w:val="000000"/>
          <w:sz w:val="24"/>
          <w:highlight w:val="none"/>
          <w:lang w:bidi="ar"/>
        </w:rPr>
        <w:t xml:space="preserve">小时内维修人员到达现场，排除故障；48小时内解决故障问题，恢复设备正常使用。必要时应向</w:t>
      </w:r>
      <w:r>
        <w:rPr>
          <w:rFonts w:hint="eastAsia" w:ascii="宋体" w:hAnsi="宋体" w:cs="宋体"/>
          <w:color w:val="000000"/>
          <w:sz w:val="24"/>
          <w:highlight w:val="none"/>
          <w:lang w:bidi="ar"/>
        </w:rPr>
        <w:t xml:space="preserve">采购人提供应急备用设备。质保期后，中标人提供终生服务，保证零配件的供给。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2</w:t>
      </w:r>
      <w:r>
        <w:rPr>
          <w:rFonts w:hint="eastAsia" w:ascii="宋体" w:hAnsi="宋体" w:cs="宋体"/>
          <w:color w:val="000000"/>
          <w:sz w:val="24"/>
          <w:highlight w:val="none"/>
          <w:lang w:bidi="ar"/>
        </w:rPr>
        <w:t xml:space="preserve">. 投标人应按照国家有关法律法规和“三包”规定以及响应文件中的“售后服务承诺”提供服务。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.投标人所提供货物必须是全新未使用的并符合国家有关技术标准。</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.投标人应在交付货物的同时向采购人提供产品全套随机资料一套（包括但不限于含产品合格证书、使用维护说明书、验收报告书、原厂保修单等）。根据采购人要求免费提供并安装操作应用软件。</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.终身提供应用技术服务，设备出现故障时保证24小时内服务维修响应。</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7</w:t>
      </w:r>
      <w:r>
        <w:rPr>
          <w:rFonts w:hint="eastAsia" w:ascii="宋体" w:hAnsi="宋体" w:cs="宋体"/>
          <w:color w:val="000000"/>
          <w:sz w:val="24"/>
          <w:highlight w:val="none"/>
          <w:lang w:bidi="ar"/>
        </w:rPr>
        <w:t xml:space="preserve">.质保期过后，</w:t>
      </w:r>
      <w:r>
        <w:rPr>
          <w:rFonts w:hint="eastAsia" w:ascii="宋体" w:hAnsi="宋体" w:cs="宋体"/>
          <w:color w:val="000000"/>
          <w:sz w:val="24"/>
          <w:highlight w:val="none"/>
        </w:rPr>
        <w:t xml:space="preserve">投标人提供能完善的后续服务，保证零配件的供给。</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bidi="ar"/>
        </w:rPr>
        <w:t xml:space="preserve">8</w:t>
      </w:r>
      <w:r>
        <w:rPr>
          <w:rFonts w:hint="eastAsia" w:ascii="宋体" w:hAnsi="宋体" w:cs="宋体"/>
          <w:color w:val="000000"/>
          <w:sz w:val="24"/>
          <w:highlight w:val="none"/>
          <w:lang w:bidi="ar"/>
        </w:rPr>
        <w:t xml:space="preserve">.备件要求：</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（2）投标人应配置工程技术人员，随时提供开箱验货、安装、调试或维修等服务。</w:t>
      </w:r>
      <w:r>
        <w:rPr>
          <w:rFonts w:hint="eastAsia" w:ascii="宋体" w:hAnsi="宋体" w:cs="宋体"/>
          <w:color w:val="000000"/>
          <w:sz w:val="24"/>
          <w:highlight w:val="none"/>
        </w:rPr>
      </w:r>
      <w:r/>
    </w:p>
    <w:p>
      <w:pPr>
        <w:pStyle w:val="1072"/>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（三）人员培训</w:t>
      </w:r>
      <w:r>
        <w:rPr>
          <w:rFonts w:hint="eastAsia" w:ascii="宋体" w:hAnsi="宋体" w:cs="宋体"/>
          <w:b/>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72"/>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72"/>
        <w:ind w:right="210" w:firstLine="482"/>
        <w:jc w:val="left"/>
        <w:spacing w:line="360" w:lineRule="auto"/>
        <w:rPr>
          <w:rFonts w:hint="eastAsia" w:ascii="宋体" w:hAnsi="宋体"/>
          <w:b/>
          <w:color w:val="000000"/>
          <w:sz w:val="24"/>
          <w:highlight w:val="none"/>
        </w:rPr>
      </w:pPr>
      <w:r>
        <w:rPr>
          <w:rFonts w:hint="eastAsia" w:ascii="宋体" w:hAnsi="宋体" w:cs="宋体"/>
          <w:b/>
          <w:color w:val="000000"/>
          <w:sz w:val="24"/>
          <w:highlight w:val="none"/>
        </w:rPr>
        <w:t xml:space="preserve">九、</w:t>
      </w:r>
      <w:r>
        <w:rPr>
          <w:rFonts w:hint="eastAsia" w:ascii="宋体" w:hAnsi="宋体"/>
          <w:b/>
          <w:color w:val="000000"/>
          <w:sz w:val="24"/>
          <w:highlight w:val="none"/>
        </w:rPr>
        <w:t xml:space="preserve">付款方式</w:t>
      </w:r>
      <w:r>
        <w:rPr>
          <w:rFonts w:hint="eastAsia" w:ascii="宋体" w:hAnsi="宋体"/>
          <w:b/>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安装调试验收合格，临床科室开具领用单，开具发票入库后壹个月内付，采购人支付成交供应商至合同款项的</w:t>
      </w:r>
      <w:r>
        <w:rPr>
          <w:rFonts w:hint="eastAsia" w:ascii="宋体" w:hAnsi="宋体" w:eastAsia="宋体" w:cs="宋体"/>
          <w:color w:val="000000"/>
          <w:sz w:val="24"/>
          <w:highlight w:val="none"/>
          <w:lang w:val="en-US" w:eastAsia="zh-CN"/>
        </w:rPr>
        <w:t xml:space="preserve">100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bookmarkStart w:id="811" w:name="_Toc99301426"/>
      <w:r/>
      <w:bookmarkStart w:id="812" w:name="_Toc99301425"/>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2"/>
      <w:r>
        <w:rPr>
          <w:rFonts w:ascii="宋体" w:hAnsi="宋体"/>
          <w:b/>
          <w:color w:val="000000"/>
          <w:sz w:val="36"/>
          <w:szCs w:val="36"/>
          <w:highlight w:val="none"/>
        </w:rPr>
      </w:r>
      <w:r/>
    </w:p>
    <w:p>
      <w:pPr>
        <w:pStyle w:val="1111"/>
        <w:spacing w:line="360" w:lineRule="auto"/>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w:t>
      </w:r>
      <w:r>
        <w:rPr>
          <w:rFonts w:hAnsi="宋体" w:cs="宋体"/>
          <w:color w:val="000000"/>
          <w:sz w:val="24"/>
          <w:szCs w:val="24"/>
          <w:highlight w:val="none"/>
        </w:rPr>
        <w:t xml:space="preserve">合同编号：</w:t>
      </w:r>
      <w:r>
        <w:rPr>
          <w:rFonts w:hAnsi="宋体" w:cs="宋体"/>
          <w:color w:val="000000"/>
          <w:sz w:val="24"/>
          <w:szCs w:val="24"/>
          <w:highlight w:val="none"/>
        </w:rPr>
      </w:r>
      <w:r/>
    </w:p>
    <w:p>
      <w:pPr>
        <w:pStyle w:val="1111"/>
        <w:spacing w:line="360" w:lineRule="auto"/>
        <w:rPr>
          <w:rFonts w:hAnsi="宋体" w:cs="宋体"/>
          <w:color w:val="000000"/>
          <w:sz w:val="24"/>
          <w:szCs w:val="24"/>
          <w:highlight w:val="none"/>
          <w:u w:val="singl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color w:val="000000"/>
          <w:sz w:val="24"/>
          <w:szCs w:val="24"/>
          <w:highlight w:val="none"/>
        </w:rPr>
        <w:t xml:space="preserve">签订地点：</w:t>
      </w:r>
      <w:r>
        <w:rPr>
          <w:rFonts w:hAnsi="宋体" w:cs="宋体"/>
          <w:color w:val="000000"/>
          <w:sz w:val="24"/>
          <w:szCs w:val="24"/>
          <w:highlight w:val="none"/>
          <w:u w:val="single"/>
        </w:rPr>
      </w:r>
      <w:r/>
    </w:p>
    <w:p>
      <w:pPr>
        <w:pStyle w:val="1086"/>
        <w:ind w:firstLine="5280"/>
        <w:spacing w:line="360" w:lineRule="auto"/>
        <w:rPr>
          <w:rFonts w:hAnsi="宋体" w:cs="宋体"/>
          <w:b/>
          <w:color w:val="000000"/>
          <w:highlight w:val="none"/>
        </w:rPr>
      </w:pPr>
      <w:r>
        <w:rPr>
          <w:rFonts w:hint="eastAsia" w:hAnsi="宋体" w:cs="宋体"/>
          <w:color w:val="000000"/>
          <w:highlight w:val="none"/>
        </w:rPr>
        <w:t xml:space="preserve">合同时间: </w:t>
      </w:r>
      <w:r>
        <w:rPr>
          <w:rFonts w:hint="eastAsia" w:hAnsi="宋体" w:cs="宋体"/>
          <w:color w:val="000000"/>
          <w:highlight w:val="none"/>
          <w:u w:val="single"/>
        </w:rPr>
        <w:t xml:space="preserve">    年   月   日</w:t>
      </w:r>
      <w:r>
        <w:rPr>
          <w:rFonts w:hAnsi="宋体" w:cs="宋体"/>
          <w:b/>
          <w:color w:val="000000"/>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甲乙双方依据《中华人民共和国民法典》以及有关法律、法规的规定，经协商一致，订立本合同，以便共同遵守。</w:t>
      </w:r>
      <w:r>
        <w:rPr>
          <w:rFonts w:hAnsi="宋体" w:cs="宋体"/>
          <w:color w:val="000000"/>
          <w:sz w:val="24"/>
          <w:szCs w:val="24"/>
          <w:highlight w:val="none"/>
        </w:rPr>
      </w:r>
      <w:r/>
    </w:p>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第一条 合同标的</w:t>
      </w:r>
      <w:r>
        <w:rPr>
          <w:rFonts w:hAnsi="宋体" w:cs="宋体"/>
          <w:b/>
          <w:color w:val="000000"/>
          <w:sz w:val="24"/>
          <w:szCs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67"/>
        <w:gridCol w:w="1107"/>
        <w:gridCol w:w="1624"/>
        <w:gridCol w:w="1196"/>
        <w:gridCol w:w="1425"/>
        <w:gridCol w:w="1869"/>
      </w:tblGrid>
      <w:tr>
        <w:trPr/>
        <w:tc>
          <w:tcPr>
            <w:tcW w:w="1113"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Cs w:val="21"/>
                <w:highlight w:val="none"/>
                <w:lang w:bidi="ar"/>
              </w:rPr>
              <w:t xml:space="preserve">  </w:t>
            </w:r>
            <w:r>
              <w:rPr>
                <w:rFonts w:hint="eastAsia" w:ascii="宋体" w:hAnsi="宋体" w:cs="宋体"/>
                <w:b/>
                <w:bCs/>
                <w:color w:val="000000"/>
                <w:sz w:val="24"/>
                <w:highlight w:val="none"/>
                <w:lang w:bidi="ar"/>
              </w:rPr>
              <w:t xml:space="preserve">设备名称</w:t>
            </w:r>
            <w:r>
              <w:rPr>
                <w:rFonts w:hint="eastAsia" w:ascii="宋体" w:hAnsi="宋体" w:cs="宋体"/>
                <w:b/>
                <w:bCs/>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品牌</w:t>
            </w:r>
            <w:r>
              <w:rPr>
                <w:rFonts w:hint="eastAsia" w:ascii="宋体" w:hAnsi="宋体" w:cs="宋体"/>
                <w:b/>
                <w:bCs/>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规格型号</w:t>
            </w:r>
            <w:r>
              <w:rPr>
                <w:rFonts w:hint="eastAsia" w:ascii="宋体" w:hAnsi="宋体" w:cs="宋体"/>
                <w:b/>
                <w:bCs/>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数  量</w:t>
            </w:r>
            <w:r>
              <w:rPr>
                <w:rFonts w:hint="eastAsia" w:ascii="宋体" w:hAnsi="宋体" w:cs="宋体"/>
                <w:b/>
                <w:bCs/>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单价（元）</w:t>
            </w:r>
            <w:r>
              <w:rPr>
                <w:rFonts w:hint="eastAsia" w:ascii="宋体" w:hAnsi="宋体" w:cs="宋体"/>
                <w:b/>
                <w:bCs/>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中标总价（元）</w:t>
            </w:r>
            <w:r>
              <w:rPr>
                <w:rFonts w:hint="eastAsia" w:ascii="宋体" w:hAnsi="宋体" w:cs="宋体"/>
                <w:b/>
                <w:bCs/>
                <w:color w:val="000000"/>
                <w:sz w:val="24"/>
                <w:highlight w:val="none"/>
              </w:rPr>
            </w:r>
            <w:r/>
          </w:p>
        </w:tc>
      </w:tr>
      <w:tr>
        <w:trPr>
          <w:trHeight w:val="600"/>
        </w:trPr>
        <w:tc>
          <w:tcPr>
            <w:tcW w:w="1113"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r>
            <w:r/>
          </w:p>
        </w:tc>
      </w:tr>
      <w:tr>
        <w:trPr>
          <w:trHeight w:val="600"/>
        </w:trPr>
        <w:tc>
          <w:tcPr>
            <w:tcW w:w="1113"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596"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87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644"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767"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006" w:type="dxa"/>
            <w:vAlign w:val="center"/>
            <w:textDirection w:val="lrTb"/>
            <w:noWrap w:val="false"/>
          </w:tcPr>
          <w:p>
            <w:pPr>
              <w:pStyle w:val="1072"/>
              <w:jc w:val="center"/>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gridSpan w:val="6"/>
            <w:tcW w:w="9288" w:type="dxa"/>
            <w:vAlign w:val="center"/>
            <w:textDirection w:val="lrTb"/>
            <w:noWrap w:val="false"/>
          </w:tcPr>
          <w:p>
            <w:pPr>
              <w:pStyle w:val="1072"/>
              <w:jc w:val="left"/>
              <w:spacing w:line="360" w:lineRule="exact"/>
              <w:widowControl/>
              <w:rPr>
                <w:rFonts w:hint="eastAsia" w:ascii="宋体" w:hAnsi="宋体" w:cs="宋体"/>
                <w:color w:val="000000"/>
                <w:sz w:val="24"/>
                <w:highlight w:val="none"/>
              </w:rPr>
            </w:pPr>
            <w:r>
              <w:rPr>
                <w:rFonts w:hint="eastAsia" w:ascii="宋体" w:hAnsi="宋体" w:cs="宋体"/>
                <w:b/>
                <w:bCs/>
                <w:color w:val="000000"/>
                <w:sz w:val="24"/>
                <w:highlight w:val="none"/>
                <w:lang w:bidi="ar"/>
              </w:rPr>
              <w:t xml:space="preserve">总价（大写）：人民币  万   仟  佰  圆整</w:t>
            </w:r>
            <w:r>
              <w:rPr>
                <w:rFonts w:hint="eastAsia" w:ascii="宋体" w:hAnsi="宋体" w:cs="宋体"/>
                <w:color w:val="000000"/>
                <w:sz w:val="24"/>
                <w:highlight w:val="none"/>
              </w:rPr>
            </w:r>
            <w:r/>
          </w:p>
        </w:tc>
      </w:tr>
    </w:tbl>
    <w:p>
      <w:pPr>
        <w:pStyle w:val="1111"/>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第二条 合同价格</w:t>
      </w:r>
      <w:r>
        <w:rPr>
          <w:rFonts w:hAnsi="宋体" w:cs="宋体"/>
          <w:b/>
          <w:color w:val="000000"/>
          <w:sz w:val="24"/>
          <w:szCs w:val="24"/>
          <w:highlight w:val="none"/>
        </w:rPr>
      </w:r>
      <w:r/>
    </w:p>
    <w:p>
      <w:pPr>
        <w:pStyle w:val="1111"/>
        <w:ind w:firstLine="482"/>
        <w:jc w:val="left"/>
        <w:spacing w:line="360" w:lineRule="auto"/>
        <w:rPr>
          <w:rFonts w:hAnsi="宋体" w:cs="宋体"/>
          <w:b/>
          <w:color w:val="000000"/>
          <w:sz w:val="24"/>
          <w:szCs w:val="24"/>
          <w:highlight w:val="none"/>
        </w:rPr>
      </w:pPr>
      <w:r>
        <w:rPr>
          <w:rFonts w:hAnsi="宋体" w:cs="宋体"/>
          <w:b/>
          <w:color w:val="000000"/>
          <w:sz w:val="24"/>
          <w:szCs w:val="24"/>
          <w:highlight w:val="none"/>
        </w:rPr>
        <w:t xml:space="preserve">签约合同总价（人民币，下同）：</w:t>
      </w:r>
      <w:r>
        <w:rPr>
          <w:rFonts w:hAnsi="宋体" w:cs="宋体"/>
          <w:b/>
          <w:color w:val="000000"/>
          <w:sz w:val="24"/>
          <w:szCs w:val="24"/>
          <w:highlight w:val="none"/>
          <w:u w:val="single"/>
        </w:rPr>
        <w:t xml:space="preserve">             </w:t>
      </w:r>
      <w:r>
        <w:rPr>
          <w:rFonts w:hAnsi="宋体" w:cs="宋体"/>
          <w:b/>
          <w:color w:val="000000"/>
          <w:sz w:val="24"/>
          <w:szCs w:val="24"/>
          <w:highlight w:val="none"/>
        </w:rPr>
        <w:t xml:space="preserve">元（小写       ）。 </w:t>
      </w:r>
      <w:r>
        <w:rPr>
          <w:rFonts w:hAnsi="宋体" w:cs="宋体"/>
          <w:b/>
          <w:color w:val="000000"/>
          <w:sz w:val="24"/>
          <w:szCs w:val="24"/>
          <w:highlight w:val="none"/>
        </w:rPr>
      </w:r>
      <w:r/>
    </w:p>
    <w:p>
      <w:pPr>
        <w:pStyle w:val="1072"/>
        <w:ind w:firstLine="480"/>
        <w:spacing w:line="360" w:lineRule="auto"/>
        <w:tabs>
          <w:tab w:val="left" w:pos="284" w:leader="none"/>
        </w:tabs>
        <w:rPr>
          <w:rFonts w:hint="eastAsia" w:ascii="宋体" w:hAnsi="宋体"/>
          <w:b/>
          <w:bCs/>
          <w:color w:val="000000"/>
          <w:sz w:val="24"/>
          <w:highlight w:val="none"/>
        </w:rPr>
      </w:pPr>
      <w:r>
        <w:rPr>
          <w:rFonts w:hint="eastAsia" w:ascii="宋体" w:hAnsi="宋体" w:cs="宋体"/>
          <w:color w:val="000000"/>
          <w:sz w:val="24"/>
          <w:highlight w:val="none"/>
        </w:rPr>
        <w:t xml:space="preserve">本合同总价款包括</w:t>
      </w:r>
      <w:r>
        <w:rPr>
          <w:rFonts w:hint="eastAsia" w:ascii="宋体" w:hAnsi="宋体" w:cs="宋体"/>
          <w:color w:val="000000"/>
          <w:sz w:val="24"/>
          <w:highlight w:val="none"/>
        </w:rPr>
        <w:t xml:space="preserve">招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甲方不再支付其他任何费用。安装、调试、验收过程中，如发现有漏项、缺件，中标人应无条件、无偿补齐，所发生的一切费用，视为已包含在投标人的报价之中，且并不因此而影响交付实际使用人的时间。</w:t>
      </w:r>
      <w:r>
        <w:rPr>
          <w:rFonts w:hint="eastAsia" w:ascii="宋体" w:hAnsi="宋体"/>
          <w:b/>
          <w:bCs/>
          <w:color w:val="000000"/>
          <w:sz w:val="24"/>
          <w:highlight w:val="none"/>
        </w:rPr>
      </w:r>
      <w:r/>
    </w:p>
    <w:p>
      <w:pPr>
        <w:pStyle w:val="1072"/>
        <w:spacing w:line="360" w:lineRule="auto"/>
        <w:rPr>
          <w:rFonts w:hint="eastAsia"/>
          <w:color w:val="000000"/>
          <w:highlight w:val="none"/>
        </w:rPr>
      </w:pPr>
      <w:r>
        <w:rPr>
          <w:rFonts w:hint="eastAsia" w:ascii="宋体" w:hAnsi="宋体" w:cs="宋体"/>
          <w:color w:val="000000"/>
          <w:sz w:val="24"/>
          <w:highlight w:val="none"/>
          <w:lang w:val="zh-CN" w:bidi="ar"/>
        </w:rPr>
        <w:t xml:space="preserve">本合同总价款还包含乙方应当提供的伴随服务/售后服务费用。</w:t>
      </w:r>
      <w:r>
        <w:rPr>
          <w:rFonts w:hint="eastAsia"/>
          <w:color w:val="000000"/>
          <w:highlight w:val="none"/>
        </w:rPr>
      </w:r>
      <w:r/>
    </w:p>
    <w:p>
      <w:pPr>
        <w:pStyle w:val="1072"/>
        <w:ind w:firstLine="482"/>
        <w:spacing w:line="360" w:lineRule="auto"/>
        <w:tabs>
          <w:tab w:val="left" w:pos="284" w:leader="none"/>
        </w:tabs>
        <w:rPr>
          <w:rFonts w:hAnsi="宋体" w:cs="宋体"/>
          <w:b/>
          <w:color w:val="000000"/>
          <w:sz w:val="24"/>
          <w:highlight w:val="none"/>
        </w:rPr>
      </w:pPr>
      <w:r>
        <w:rPr>
          <w:rFonts w:hAnsi="宋体" w:cs="宋体"/>
          <w:b/>
          <w:color w:val="000000"/>
          <w:sz w:val="24"/>
          <w:highlight w:val="none"/>
        </w:rPr>
        <w:t xml:space="preserve">第三条 组成本合同的有关文件</w:t>
      </w:r>
      <w:r>
        <w:rPr>
          <w:rFonts w:hAnsi="宋体" w:cs="宋体"/>
          <w:b/>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下列与本次采购活动有关的文件及有关附件是本合同不可分割的组成部分，与本合同具有同等法律效力，这些文件包括但不限于：</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（1）招标采购文件（编号：   ）           （2）乙方提供的投标文件； </w:t>
      </w:r>
      <w:r>
        <w:rPr>
          <w:rFonts w:hAnsi="宋体" w:cs="宋体"/>
          <w:color w:val="000000"/>
          <w:sz w:val="24"/>
          <w:szCs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（3）中标通知书；                        （4）甲乙双方商定的其他文件等。</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第四条 权利保证</w:t>
      </w:r>
      <w:r>
        <w:rPr>
          <w:rFonts w:ascii="宋体" w:hAnsi="宋体" w:cs="宋体"/>
          <w:b/>
          <w:color w:val="000000"/>
          <w:sz w:val="24"/>
          <w:highlight w:val="none"/>
        </w:rPr>
      </w:r>
      <w:r/>
    </w:p>
    <w:p>
      <w:pPr>
        <w:pStyle w:val="1072"/>
        <w:ind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乙方应保证甲方在使用该货物或其任何一部分时不受第三方提出侵犯其专利权</w:t>
      </w:r>
      <w:r>
        <w:rPr>
          <w:rFonts w:hint="eastAsia" w:ascii="宋体" w:hAnsi="宋体" w:cs="宋体"/>
          <w:color w:val="000000"/>
          <w:sz w:val="24"/>
          <w:highlight w:val="none"/>
          <w:shd w:val="clear" w:color="auto" w:fill="ffffff"/>
        </w:rPr>
        <w:t xml:space="preserve">、著作权、商标权等知识产权的起诉。</w:t>
      </w:r>
      <w:r>
        <w:rPr>
          <w:rFonts w:hint="eastAsia" w:ascii="宋体" w:hAnsi="宋体" w:cs="宋体"/>
          <w:color w:val="000000"/>
          <w:sz w:val="24"/>
          <w:highlight w:val="none"/>
        </w:rPr>
        <w:t xml:space="preserve">一旦出现侵权、索赔或诉讼，乙方应承担全部责任，同时甲方有权解除本合同。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第五条 质量保证</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1.乙方所提供的货物的技术规格应与招标文件规定的技术规格及所附的“技术规格响应表”相一致；若技术性能无特殊说明，则按国家有关部门最新颁布的标准及规范为准。</w:t>
      </w:r>
      <w:r>
        <w:rPr>
          <w:rFonts w:ascii="宋体" w:hAnsi="宋体" w:cs="宋体"/>
          <w:color w:val="000000"/>
          <w:sz w:val="24"/>
          <w:highlight w:val="none"/>
        </w:rPr>
      </w:r>
      <w:r/>
    </w:p>
    <w:p>
      <w:pPr>
        <w:pStyle w:val="1111"/>
        <w:ind w:firstLine="480"/>
        <w:spacing w:line="360" w:lineRule="auto"/>
        <w:rPr>
          <w:rFonts w:hAnsi="宋体" w:cs="宋体"/>
          <w:color w:val="000000"/>
          <w:sz w:val="24"/>
          <w:szCs w:val="24"/>
          <w:highlight w:val="none"/>
        </w:rPr>
      </w:pPr>
      <w:r>
        <w:rPr>
          <w:rFonts w:hAnsi="宋体" w:cs="宋体"/>
          <w:color w:val="000000"/>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Ansi="宋体" w:cs="宋体"/>
          <w:color w:val="000000"/>
          <w:sz w:val="24"/>
          <w:szCs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第六条 包装要求</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2.每一包装单元内应附详细的装箱单和质量合格凭证。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3.乙方保证货物不存在危及人身及财产安全的产品缺陷，否则应承担全部法律责任。</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第七条 交货和验收</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1.乙方应当在合同签订后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天内将货物安装调试完毕交付甲方正常使用，地点由甲方指定。招标文件有约定的，从其约定。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3.货物的到货验收包括：生产厂家名称、品牌、型号、规格、数量、外观质量、配置及货物包装是否完好。</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货物和系统调试验收的标准：按行业通行标准、厂方出厂标准和乙方投标文件的承诺（详见合同附件载明的标准，并不低于国家相关标准）。甲乙双方应在货物安装调试完毕后的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 </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a.重新调试直至合格为止；</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b.要求乙方对货物进行免费更换，然后重新调试直至合格为止。</w:t>
      </w:r>
      <w:r>
        <w:rPr>
          <w:rFonts w:ascii="宋体" w:hAnsi="宋体" w:cs="宋体"/>
          <w:color w:val="000000"/>
          <w:sz w:val="24"/>
          <w:highlight w:val="none"/>
        </w:rPr>
      </w:r>
      <w:r/>
    </w:p>
    <w:p>
      <w:pPr>
        <w:pStyle w:val="1111"/>
        <w:ind w:firstLine="480"/>
        <w:spacing w:line="360" w:lineRule="auto"/>
        <w:rPr>
          <w:rFonts w:hAnsi="宋体" w:cs="宋体"/>
          <w:b/>
          <w:color w:val="000000"/>
          <w:sz w:val="24"/>
          <w:szCs w:val="24"/>
          <w:highlight w:val="none"/>
        </w:rPr>
      </w:pPr>
      <w:r>
        <w:rPr>
          <w:rFonts w:hAnsi="宋体" w:cs="宋体"/>
          <w:color w:val="000000"/>
          <w:sz w:val="24"/>
          <w:szCs w:val="24"/>
          <w:highlight w:val="none"/>
        </w:rPr>
        <w:t xml:space="preserve">甲方因乙方原因所产生的所有费用均由乙方负担。</w:t>
      </w:r>
      <w:r>
        <w:rPr>
          <w:rFonts w:hAnsi="宋体" w:cs="宋体"/>
          <w:b/>
          <w:color w:val="000000"/>
          <w:sz w:val="24"/>
          <w:szCs w:val="24"/>
          <w:highlight w:val="none"/>
        </w:rPr>
      </w:r>
      <w:r/>
    </w:p>
    <w:p>
      <w:pPr>
        <w:pStyle w:val="1072"/>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第八条 履约保证金</w:t>
      </w:r>
      <w:r>
        <w:rPr>
          <w:rFonts w:hint="eastAsia" w:ascii="宋体" w:hAnsi="宋体" w:cs="宋体"/>
          <w:b/>
          <w:color w:val="000000"/>
          <w:sz w:val="24"/>
          <w:highlight w:val="none"/>
        </w:rPr>
      </w:r>
      <w:r/>
    </w:p>
    <w:p>
      <w:pPr>
        <w:pStyle w:val="1072"/>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第九条 合同款结算及支付</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1.本合同项下所有款项均以人民币支付。</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2.本合同项下的采购资金由甲方自行支付，乙方向甲方开具发票。</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3.结算原则：固定总价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4.付款方式：</w:t>
      </w:r>
      <w:r>
        <w:rPr>
          <w:rFonts w:ascii="宋体" w:hAnsi="宋体" w:cs="宋体"/>
          <w:color w:val="000000"/>
          <w:sz w:val="24"/>
          <w:highlight w:val="none"/>
        </w:rPr>
      </w:r>
      <w:r/>
    </w:p>
    <w:p>
      <w:pPr>
        <w:pStyle w:val="107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安装调试验收合格，临床科室开具领用单，开具发票入库后壹个月内付，采购人支付成交供应商至合同款项的</w:t>
      </w:r>
      <w:r>
        <w:rPr>
          <w:rFonts w:hint="eastAsia" w:ascii="宋体" w:hAnsi="宋体" w:eastAsia="宋体" w:cs="宋体"/>
          <w:color w:val="000000"/>
          <w:sz w:val="24"/>
          <w:highlight w:val="none"/>
          <w:lang w:val="en-US" w:eastAsia="zh-CN"/>
        </w:rPr>
        <w:t xml:space="preserve">100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第十条 伴随服务／售后服务</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1.乙方应按照国家有关法律法规规章和“三包”规定以及合同所附的“服务承诺”提供服务。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2.除前款规定外，乙方还应提供下列服务：</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（1）货物的现场安装、调试或启动监督；</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（2）就货物的安装、启动、运行及维护等对甲方人员进行免费培训。</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3.若招标文件中不包含有关伴随服务或售后服务的承诺，双方作如下约定：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 所购货物按乙方投标承诺提供免费维护和质量保证，保修费用计入总价。</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 保修期内，乙方负责对其提供的货物整机进行维修和系统维护，不再收取任何费用，但不可抗力（如火灾、雷击等）造成的故障除外。</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 货物故障报修的响应时间按乙方投标承诺执行。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 若货物故障在检修工作小时后仍无法排除，乙方应在小时内免费提供不低于故障货物规格型号档次的备用货物供甲方使用，直至故障货物修复。</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 所有货物保修服务方式均为乙方上门保修，即由乙方派员到货物使用现场维修，由此产生的一切费用均由乙方承担。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3.7 保修期后的货物维护由双方协商再定。</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 本项目免费保修期为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年。自产品验收合格之日起计算。</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第十一条 违约责任</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如乙方不能</w:t>
      </w:r>
      <w:r>
        <w:rPr>
          <w:rFonts w:ascii="宋体" w:hAnsi="宋体"/>
          <w:color w:val="000000"/>
          <w:sz w:val="24"/>
          <w:highlight w:val="none"/>
        </w:rPr>
        <w:t xml:space="preserve">按时</w:t>
      </w:r>
      <w:r>
        <w:rPr>
          <w:rFonts w:hint="eastAsia" w:ascii="宋体" w:hAnsi="宋体"/>
          <w:color w:val="000000"/>
          <w:sz w:val="24"/>
          <w:highlight w:val="none"/>
        </w:rPr>
        <w:t xml:space="preserve">交付货物完成安装调试的，每逾期</w:t>
      </w:r>
      <w:r>
        <w:rPr>
          <w:rFonts w:ascii="宋体" w:hAnsi="宋体"/>
          <w:color w:val="000000"/>
          <w:sz w:val="24"/>
          <w:highlight w:val="none"/>
        </w:rPr>
        <w:t xml:space="preserve">1</w:t>
      </w:r>
      <w:r>
        <w:rPr>
          <w:rFonts w:hint="eastAsia" w:ascii="宋体" w:hAnsi="宋体"/>
          <w:color w:val="000000"/>
          <w:sz w:val="24"/>
          <w:highlight w:val="none"/>
        </w:rPr>
        <w:t xml:space="preserve">天，乙方向甲方偿付合同总额</w:t>
      </w:r>
      <w:r>
        <w:rPr>
          <w:rFonts w:ascii="宋体" w:hAnsi="宋体"/>
          <w:color w:val="000000"/>
          <w:sz w:val="24"/>
          <w:highlight w:val="none"/>
        </w:rPr>
        <w:t xml:space="preserve">5</w:t>
      </w:r>
      <w:r>
        <w:rPr>
          <w:rFonts w:hint="eastAsia" w:ascii="宋体" w:hAnsi="宋体"/>
          <w:color w:val="000000"/>
          <w:sz w:val="24"/>
          <w:highlight w:val="none"/>
        </w:rPr>
        <w:t xml:space="preserve">‰的违约金</w:t>
      </w:r>
      <w:r>
        <w:rPr>
          <w:rFonts w:ascii="宋体" w:hAnsi="宋体"/>
          <w:color w:val="000000"/>
          <w:sz w:val="24"/>
          <w:highlight w:val="none"/>
        </w:rPr>
        <w:t xml:space="preserve">；</w:t>
      </w:r>
      <w:r>
        <w:rPr>
          <w:rFonts w:hint="eastAsia" w:ascii="宋体" w:hAnsi="宋体"/>
          <w:color w:val="000000"/>
          <w:sz w:val="24"/>
          <w:highlight w:val="none"/>
        </w:rPr>
        <w:t xml:space="preserve">乙方</w:t>
      </w:r>
      <w:r>
        <w:rPr>
          <w:rFonts w:ascii="宋体" w:hAnsi="宋体"/>
          <w:color w:val="000000"/>
          <w:sz w:val="24"/>
          <w:highlight w:val="none"/>
        </w:rPr>
        <w:t xml:space="preserve">逾期交付货物或完成安装调试超过10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含</w:t>
      </w:r>
      <w:r>
        <w:rPr>
          <w:rFonts w:ascii="宋体" w:hAnsi="宋体"/>
          <w:color w:val="000000"/>
          <w:sz w:val="24"/>
          <w:highlight w:val="none"/>
        </w:rPr>
        <w:t xml:space="preserve">10</w:t>
      </w:r>
      <w:r>
        <w:rPr>
          <w:rFonts w:hint="eastAsia" w:ascii="宋体" w:hAnsi="宋体"/>
          <w:color w:val="000000"/>
          <w:sz w:val="24"/>
          <w:highlight w:val="none"/>
        </w:rPr>
        <w:t xml:space="preserve">天</w:t>
      </w:r>
      <w:r>
        <w:rPr>
          <w:rFonts w:ascii="宋体" w:hAnsi="宋体"/>
          <w:color w:val="000000"/>
          <w:sz w:val="24"/>
          <w:highlight w:val="none"/>
        </w:rPr>
        <w:t xml:space="preserve">），</w:t>
      </w:r>
      <w:r>
        <w:rPr>
          <w:rFonts w:hint="eastAsia" w:ascii="宋体" w:hAnsi="宋体"/>
          <w:color w:val="000000"/>
          <w:sz w:val="24"/>
          <w:highlight w:val="none"/>
        </w:rPr>
        <w:t xml:space="preserve">甲方有权解除合同，</w:t>
      </w:r>
      <w:r>
        <w:rPr>
          <w:rFonts w:ascii="宋体" w:hAnsi="宋体"/>
          <w:color w:val="000000"/>
          <w:sz w:val="24"/>
          <w:highlight w:val="none"/>
        </w:rPr>
        <w:t xml:space="preserve">同时有权要求乙方按照</w:t>
      </w:r>
      <w:r>
        <w:rPr>
          <w:rFonts w:hint="eastAsia" w:ascii="宋体" w:hAnsi="宋体"/>
          <w:color w:val="000000"/>
          <w:sz w:val="24"/>
          <w:highlight w:val="none"/>
        </w:rPr>
        <w:t xml:space="preserve">合同总价</w:t>
      </w:r>
      <w:r>
        <w:rPr>
          <w:rFonts w:ascii="宋体" w:hAnsi="宋体"/>
          <w:color w:val="000000"/>
          <w:sz w:val="24"/>
          <w:highlight w:val="none"/>
        </w:rPr>
        <w:t xml:space="preserve">5%</w:t>
      </w:r>
      <w:r>
        <w:rPr>
          <w:rFonts w:hint="eastAsia" w:ascii="宋体" w:hAnsi="宋体"/>
          <w:color w:val="000000"/>
          <w:sz w:val="24"/>
          <w:highlight w:val="none"/>
        </w:rPr>
        <w:t xml:space="preserve">的</w:t>
      </w:r>
      <w:r>
        <w:rPr>
          <w:rFonts w:ascii="宋体" w:hAnsi="宋体"/>
          <w:color w:val="000000"/>
          <w:sz w:val="24"/>
          <w:highlight w:val="none"/>
        </w:rPr>
        <w:t xml:space="preserve">标准支付</w:t>
      </w:r>
      <w:r>
        <w:rPr>
          <w:rFonts w:hint="eastAsia" w:ascii="宋体" w:hAnsi="宋体"/>
          <w:color w:val="000000"/>
          <w:sz w:val="24"/>
          <w:highlight w:val="none"/>
        </w:rPr>
        <w:t xml:space="preserve">违约金</w:t>
      </w:r>
      <w:r>
        <w:rPr>
          <w:rFonts w:ascii="宋体" w:hAnsi="宋体"/>
          <w:color w:val="000000"/>
          <w:sz w:val="24"/>
          <w:highlight w:val="none"/>
        </w:rPr>
        <w:t xml:space="preserve">，</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甲方未按合同规定的期限向乙方支付货款的，每逾期</w:t>
      </w:r>
      <w:r>
        <w:rPr>
          <w:rFonts w:ascii="宋体" w:hAnsi="宋体"/>
          <w:color w:val="000000"/>
          <w:sz w:val="24"/>
          <w:highlight w:val="none"/>
        </w:rPr>
        <w:t xml:space="preserve">1</w:t>
      </w:r>
      <w:r>
        <w:rPr>
          <w:rFonts w:hint="eastAsia" w:ascii="宋体" w:hAnsi="宋体"/>
          <w:color w:val="000000"/>
          <w:sz w:val="24"/>
          <w:highlight w:val="none"/>
        </w:rPr>
        <w:t xml:space="preserve">天甲方向乙方偿付欠款总额的</w:t>
      </w:r>
      <w:r>
        <w:rPr>
          <w:rFonts w:ascii="宋体" w:hAnsi="宋体"/>
          <w:color w:val="000000"/>
          <w:sz w:val="24"/>
          <w:highlight w:val="none"/>
        </w:rPr>
        <w:t xml:space="preserve">5</w:t>
      </w:r>
      <w:r>
        <w:rPr>
          <w:rFonts w:hint="eastAsia" w:ascii="宋体" w:hAnsi="宋体"/>
          <w:color w:val="000000"/>
          <w:sz w:val="24"/>
          <w:highlight w:val="none"/>
        </w:rPr>
        <w:t xml:space="preserve">‰滞纳金，但累计滞纳金总额不超过欠款总额的</w:t>
      </w:r>
      <w:r>
        <w:rPr>
          <w:rFonts w:ascii="宋体" w:hAnsi="宋体"/>
          <w:color w:val="000000"/>
          <w:sz w:val="24"/>
          <w:highlight w:val="none"/>
        </w:rPr>
        <w:t xml:space="preserve">5% </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乙方所交付的货物品种、型号、规格不符合合同规定的，甲方有权拒收</w:t>
      </w:r>
      <w:r>
        <w:rPr>
          <w:rFonts w:ascii="宋体" w:hAnsi="宋体"/>
          <w:color w:val="000000"/>
          <w:sz w:val="24"/>
          <w:highlight w:val="none"/>
        </w:rPr>
        <w:t xml:space="preserve">，</w:t>
      </w:r>
      <w:r>
        <w:rPr>
          <w:rFonts w:hint="eastAsia" w:ascii="宋体" w:hAnsi="宋体"/>
          <w:color w:val="000000"/>
          <w:sz w:val="24"/>
          <w:highlight w:val="none"/>
        </w:rPr>
        <w:t xml:space="preserve">同时</w:t>
      </w:r>
      <w:r>
        <w:rPr>
          <w:rFonts w:ascii="宋体" w:hAnsi="宋体"/>
          <w:color w:val="000000"/>
          <w:sz w:val="24"/>
          <w:highlight w:val="none"/>
        </w:rPr>
        <w:t xml:space="preserve">有权解除合同，</w:t>
      </w:r>
      <w:r>
        <w:rPr>
          <w:rFonts w:hint="eastAsia" w:ascii="宋体" w:hAnsi="宋体"/>
          <w:color w:val="000000"/>
          <w:sz w:val="24"/>
          <w:highlight w:val="none"/>
        </w:rPr>
        <w:t xml:space="preserve">解除合同的通知自</w:t>
      </w:r>
      <w:r>
        <w:rPr>
          <w:rFonts w:ascii="宋体" w:hAnsi="宋体"/>
          <w:color w:val="000000"/>
          <w:sz w:val="24"/>
          <w:highlight w:val="none"/>
        </w:rPr>
        <w:t xml:space="preserve">发出之日</w:t>
      </w:r>
      <w:r>
        <w:rPr>
          <w:rFonts w:hint="eastAsia" w:ascii="宋体" w:hAnsi="宋体"/>
          <w:color w:val="000000"/>
          <w:sz w:val="24"/>
          <w:highlight w:val="none"/>
        </w:rPr>
        <w:t xml:space="preserve">生效</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在乙方承诺的或国家规定的质量保证期内（取两者中最长的期限），如经乙方两次维修或更换，货物仍不能达到合同约定的质量标准、运行效果的，甲方有权</w:t>
      </w:r>
      <w:r>
        <w:rPr>
          <w:rFonts w:ascii="宋体" w:hAnsi="宋体"/>
          <w:color w:val="000000"/>
          <w:sz w:val="24"/>
          <w:highlight w:val="none"/>
        </w:rPr>
        <w:t xml:space="preserve">要求</w:t>
      </w:r>
      <w:r>
        <w:rPr>
          <w:rFonts w:hint="eastAsia" w:ascii="宋体" w:hAnsi="宋体"/>
          <w:color w:val="000000"/>
          <w:sz w:val="24"/>
          <w:highlight w:val="none"/>
        </w:rPr>
        <w:t xml:space="preserve">退货，乙方应退回全部货款，</w:t>
      </w:r>
      <w:r>
        <w:rPr>
          <w:rFonts w:ascii="宋体" w:hAnsi="宋体"/>
          <w:color w:val="000000"/>
          <w:sz w:val="24"/>
          <w:highlight w:val="none"/>
        </w:rPr>
        <w:t xml:space="preserve">同时甲方有权按照本条第1</w:t>
      </w:r>
      <w:r>
        <w:rPr>
          <w:rFonts w:hint="eastAsia" w:ascii="宋体" w:hAnsi="宋体"/>
          <w:color w:val="000000"/>
          <w:sz w:val="24"/>
          <w:highlight w:val="none"/>
        </w:rPr>
        <w:t xml:space="preserve">点不予向</w:t>
      </w:r>
      <w:r>
        <w:rPr>
          <w:rFonts w:ascii="宋体" w:hAnsi="宋体"/>
          <w:color w:val="000000"/>
          <w:sz w:val="24"/>
          <w:highlight w:val="none"/>
        </w:rPr>
        <w:t xml:space="preserve">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若仍不足以弥补甲方损失，</w:t>
      </w:r>
      <w:r>
        <w:rPr>
          <w:rFonts w:hint="eastAsia" w:ascii="宋体" w:hAnsi="宋体"/>
          <w:color w:val="000000"/>
          <w:sz w:val="24"/>
          <w:highlight w:val="none"/>
        </w:rPr>
        <w:t xml:space="preserve">则乙方还须赔偿甲方因此遭受的</w:t>
      </w:r>
      <w:r>
        <w:rPr>
          <w:rFonts w:ascii="宋体" w:hAnsi="宋体"/>
          <w:color w:val="000000"/>
          <w:sz w:val="24"/>
          <w:highlight w:val="none"/>
        </w:rPr>
        <w:t xml:space="preserve">所有</w:t>
      </w:r>
      <w:r>
        <w:rPr>
          <w:rFonts w:hint="eastAsia" w:ascii="宋体" w:hAnsi="宋体"/>
          <w:color w:val="000000"/>
          <w:sz w:val="24"/>
          <w:highlight w:val="none"/>
        </w:rPr>
        <w:t xml:space="preserve">损失。</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乙方未按本合同的规定和“服务承诺”提供伴随服务</w:t>
      </w:r>
      <w:r>
        <w:rPr>
          <w:rFonts w:ascii="宋体" w:hAnsi="宋体"/>
          <w:color w:val="000000"/>
          <w:sz w:val="24"/>
          <w:highlight w:val="none"/>
        </w:rPr>
        <w:t xml:space="preserve">/</w:t>
      </w:r>
      <w:r>
        <w:rPr>
          <w:rFonts w:hint="eastAsia" w:ascii="宋体" w:hAnsi="宋体"/>
          <w:color w:val="000000"/>
          <w:sz w:val="24"/>
          <w:highlight w:val="none"/>
        </w:rPr>
        <w:t xml:space="preserve">售后服务的，</w:t>
      </w:r>
      <w:r>
        <w:rPr>
          <w:rFonts w:ascii="宋体" w:hAnsi="宋体"/>
          <w:color w:val="000000"/>
          <w:sz w:val="24"/>
          <w:highlight w:val="none"/>
        </w:rPr>
        <w:t xml:space="preserve">甲方有权提前解除本合同，</w:t>
      </w:r>
      <w:r>
        <w:rPr>
          <w:rFonts w:hint="eastAsia" w:ascii="宋体" w:hAnsi="宋体"/>
          <w:color w:val="000000"/>
          <w:sz w:val="24"/>
          <w:highlight w:val="none"/>
        </w:rPr>
        <w:t xml:space="preserve">同时</w:t>
      </w:r>
      <w:r>
        <w:rPr>
          <w:rFonts w:ascii="宋体" w:hAnsi="宋体"/>
          <w:color w:val="000000"/>
          <w:sz w:val="24"/>
          <w:highlight w:val="none"/>
        </w:rPr>
        <w:t xml:space="preserve">乙方</w:t>
      </w:r>
      <w:r>
        <w:rPr>
          <w:rFonts w:hint="eastAsia" w:ascii="宋体" w:hAnsi="宋体"/>
          <w:color w:val="000000"/>
          <w:sz w:val="24"/>
          <w:highlight w:val="none"/>
        </w:rPr>
        <w:t xml:space="preserve">应按合同总价款的</w:t>
      </w:r>
      <w:r>
        <w:rPr>
          <w:rFonts w:ascii="宋体" w:hAnsi="宋体"/>
          <w:color w:val="000000"/>
          <w:sz w:val="24"/>
          <w:highlight w:val="none"/>
        </w:rPr>
        <w:t xml:space="preserve">5 %</w:t>
      </w:r>
      <w:r>
        <w:rPr>
          <w:rFonts w:hint="eastAsia" w:ascii="宋体" w:hAnsi="宋体"/>
          <w:color w:val="000000"/>
          <w:sz w:val="24"/>
          <w:highlight w:val="none"/>
        </w:rPr>
        <w:t xml:space="preserve">向甲方承担违约责任。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乙方投标属虚假承诺，或经权威部门监测提供的货物不能满足招标文件要求，或是由于乙方的过错造成合同无法继续履行的，还应向甲方支付不少于合同总价</w:t>
      </w:r>
      <w:r>
        <w:rPr>
          <w:rFonts w:ascii="宋体" w:hAnsi="宋体"/>
          <w:color w:val="000000"/>
          <w:sz w:val="24"/>
          <w:highlight w:val="none"/>
        </w:rPr>
        <w:t xml:space="preserve">30%违约</w:t>
      </w:r>
      <w:r>
        <w:rPr>
          <w:rFonts w:hint="eastAsia" w:ascii="宋体" w:hAnsi="宋体"/>
          <w:color w:val="000000"/>
          <w:sz w:val="24"/>
          <w:highlight w:val="none"/>
        </w:rPr>
        <w:t xml:space="preserve">金</w:t>
      </w:r>
      <w:r>
        <w:rPr>
          <w:rFonts w:ascii="宋体" w:hAnsi="宋体"/>
          <w:color w:val="000000"/>
          <w:sz w:val="24"/>
          <w:highlight w:val="none"/>
        </w:rPr>
        <w:t xml:space="preserve">，</w:t>
      </w:r>
      <w:r>
        <w:rPr>
          <w:rFonts w:hint="eastAsia" w:ascii="宋体" w:hAnsi="宋体"/>
          <w:color w:val="000000"/>
          <w:sz w:val="24"/>
          <w:highlight w:val="none"/>
        </w:rPr>
        <w:t xml:space="preserve">若</w:t>
      </w:r>
      <w:r>
        <w:rPr>
          <w:rFonts w:ascii="宋体" w:hAnsi="宋体"/>
          <w:color w:val="000000"/>
          <w:sz w:val="24"/>
          <w:highlight w:val="none"/>
        </w:rPr>
        <w:t xml:space="preserve">该违约金</w:t>
      </w:r>
      <w:r>
        <w:rPr>
          <w:rFonts w:hint="eastAsia" w:ascii="宋体" w:hAnsi="宋体"/>
          <w:color w:val="000000"/>
          <w:sz w:val="24"/>
          <w:highlight w:val="none"/>
        </w:rPr>
        <w:t xml:space="preserve">不足以</w:t>
      </w:r>
      <w:r>
        <w:rPr>
          <w:rFonts w:ascii="宋体" w:hAnsi="宋体"/>
          <w:color w:val="000000"/>
          <w:sz w:val="24"/>
          <w:highlight w:val="none"/>
        </w:rPr>
        <w:t xml:space="preserve">弥补甲方损失，</w:t>
      </w:r>
      <w:r>
        <w:rPr>
          <w:rFonts w:hint="eastAsia" w:ascii="宋体" w:hAnsi="宋体"/>
          <w:color w:val="000000"/>
          <w:sz w:val="24"/>
          <w:highlight w:val="none"/>
        </w:rPr>
        <w:t xml:space="preserve">则应当</w:t>
      </w:r>
      <w:r>
        <w:rPr>
          <w:rFonts w:ascii="宋体" w:hAnsi="宋体"/>
          <w:color w:val="000000"/>
          <w:sz w:val="24"/>
          <w:highlight w:val="none"/>
        </w:rPr>
        <w:t xml:space="preserve">赔偿甲方所有损失</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hint="eastAsia" w:ascii="宋体" w:hAnsi="宋体"/>
          <w:color w:val="000000"/>
          <w:sz w:val="24"/>
          <w:highlight w:val="none"/>
        </w:rPr>
        <w:t xml:space="preserve">8</w:t>
      </w:r>
      <w:r>
        <w:rPr>
          <w:rFonts w:ascii="宋体" w:hAnsi="宋体"/>
          <w:color w:val="000000"/>
          <w:sz w:val="24"/>
          <w:highlight w:val="none"/>
        </w:rPr>
        <w:t xml:space="preserve">.</w:t>
      </w:r>
      <w:r>
        <w:rPr>
          <w:rFonts w:hint="eastAsia" w:ascii="宋体" w:hAnsi="宋体"/>
          <w:color w:val="000000"/>
          <w:sz w:val="24"/>
          <w:highlight w:val="none"/>
        </w:rPr>
        <w:t xml:space="preserve">其他未尽事宜，以《民法典》等有关法律法规规定为准，无相关规定的，双方协商解决。</w:t>
      </w:r>
      <w:r>
        <w:rPr>
          <w:rFonts w:ascii="宋体" w:hAnsi="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第十二条 合同的变更和终止</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1.本合同一经签订，甲乙双方不得擅自变更、中止或终止合同。</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2.除发生法律规定的不能预见、不能避免并不能克服的客观情况外，甲乙双方不得放弃或拒绝履行合同。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第十三条 合同的转让</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乙方不得擅自部分或全部转让其应履行的合同义务。</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第十四条 不可抗力</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乙方中任何一方，因不可抗力不能按时或完全履行合同的，应及时通知对方，并在五日内提供相应证明。未履行完合同部分是否继续履行、如何履行等问题，可由双方初步协商，并向主管部门报告。确定为不可抗力原因造成的损失，免予承担责任。</w:t>
      </w:r>
      <w:r>
        <w:rPr>
          <w:rFonts w:ascii="宋体" w:hAnsi="宋体" w:cs="宋体"/>
          <w:color w:val="000000"/>
          <w:sz w:val="24"/>
          <w:highlight w:val="none"/>
        </w:rPr>
      </w:r>
      <w:r/>
    </w:p>
    <w:p>
      <w:pPr>
        <w:pStyle w:val="1072"/>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第十五条 质量问题或缺陷的索赔</w:t>
      </w:r>
      <w:r>
        <w:rPr>
          <w:rFonts w:ascii="宋体" w:hAnsi="宋体" w:cs="宋体"/>
          <w:b/>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rPr>
        <w:t xml:space="preserve">交付</w:t>
      </w:r>
      <w:r>
        <w:rPr>
          <w:rFonts w:ascii="宋体" w:hAnsi="宋体"/>
          <w:color w:val="000000"/>
          <w:sz w:val="24"/>
          <w:highlight w:val="none"/>
        </w:rPr>
        <w:t xml:space="preserve">货物后，甲方发现</w:t>
      </w:r>
      <w:r>
        <w:rPr>
          <w:rFonts w:hint="eastAsia" w:ascii="宋体" w:hAnsi="宋体"/>
          <w:color w:val="000000"/>
          <w:sz w:val="24"/>
          <w:highlight w:val="none"/>
        </w:rPr>
        <w:t xml:space="preserve">货物</w:t>
      </w:r>
      <w:r>
        <w:rPr>
          <w:rFonts w:ascii="宋体" w:hAnsi="宋体"/>
          <w:color w:val="000000"/>
          <w:sz w:val="24"/>
          <w:highlight w:val="none"/>
        </w:rPr>
        <w:t xml:space="preserve">的</w:t>
      </w:r>
      <w:r>
        <w:rPr>
          <w:rFonts w:hint="eastAsia" w:ascii="宋体" w:hAnsi="宋体"/>
          <w:color w:val="000000"/>
          <w:sz w:val="24"/>
          <w:highlight w:val="none"/>
        </w:rPr>
        <w:t xml:space="preserve">质量</w:t>
      </w:r>
      <w:r>
        <w:rPr>
          <w:rFonts w:ascii="宋体" w:hAnsi="宋体"/>
          <w:color w:val="000000"/>
          <w:sz w:val="24"/>
          <w:highlight w:val="none"/>
        </w:rPr>
        <w:t xml:space="preserve">与合同内容不符或证实</w:t>
      </w:r>
      <w:r>
        <w:rPr>
          <w:rFonts w:hint="eastAsia" w:ascii="宋体" w:hAnsi="宋体"/>
          <w:color w:val="000000"/>
          <w:sz w:val="24"/>
          <w:highlight w:val="none"/>
        </w:rPr>
        <w:t xml:space="preserve">货物存在</w:t>
      </w:r>
      <w:r>
        <w:rPr>
          <w:rFonts w:ascii="宋体" w:hAnsi="宋体"/>
          <w:color w:val="000000"/>
          <w:sz w:val="24"/>
          <w:highlight w:val="none"/>
        </w:rPr>
        <w:t xml:space="preserve">缺陷的</w:t>
      </w:r>
      <w:r>
        <w:rPr>
          <w:rFonts w:hint="eastAsia" w:ascii="宋体" w:hAnsi="宋体"/>
          <w:color w:val="000000"/>
          <w:sz w:val="24"/>
          <w:highlight w:val="none"/>
        </w:rPr>
        <w:t xml:space="preserve">（</w:t>
      </w:r>
      <w:r>
        <w:rPr>
          <w:rFonts w:ascii="宋体" w:hAnsi="宋体"/>
          <w:color w:val="000000"/>
          <w:sz w:val="24"/>
          <w:highlight w:val="none"/>
        </w:rPr>
        <w:t xml:space="preserve">包括潜在缺陷</w:t>
      </w:r>
      <w:r>
        <w:rPr>
          <w:rFonts w:hint="eastAsia" w:ascii="宋体" w:hAnsi="宋体"/>
          <w:color w:val="000000"/>
          <w:sz w:val="24"/>
          <w:highlight w:val="none"/>
        </w:rPr>
        <w:t xml:space="preserve">）</w:t>
      </w:r>
      <w:r>
        <w:rPr>
          <w:rFonts w:ascii="宋体" w:hAnsi="宋体"/>
          <w:color w:val="000000"/>
          <w:sz w:val="24"/>
          <w:highlight w:val="none"/>
        </w:rPr>
        <w:t xml:space="preserve">，乙方应在收到甲方索赔通知后3</w:t>
      </w:r>
      <w:r>
        <w:rPr>
          <w:rFonts w:hint="eastAsia" w:ascii="宋体" w:hAnsi="宋体"/>
          <w:color w:val="000000"/>
          <w:sz w:val="24"/>
          <w:highlight w:val="none"/>
        </w:rPr>
        <w:t xml:space="preserve">日</w:t>
      </w:r>
      <w:r>
        <w:rPr>
          <w:rFonts w:ascii="宋体" w:hAnsi="宋体"/>
          <w:color w:val="000000"/>
          <w:sz w:val="24"/>
          <w:highlight w:val="none"/>
        </w:rPr>
        <w:t xml:space="preserve">内到甲方</w:t>
      </w:r>
      <w:r>
        <w:rPr>
          <w:rFonts w:hint="eastAsia" w:ascii="宋体" w:hAnsi="宋体"/>
          <w:color w:val="000000"/>
          <w:sz w:val="24"/>
          <w:highlight w:val="none"/>
        </w:rPr>
        <w:t xml:space="preserve">处</w:t>
      </w:r>
      <w:r>
        <w:rPr>
          <w:rFonts w:ascii="宋体" w:hAnsi="宋体"/>
          <w:color w:val="000000"/>
          <w:sz w:val="24"/>
          <w:highlight w:val="none"/>
        </w:rPr>
        <w:t xml:space="preserve">，</w:t>
      </w:r>
      <w:r>
        <w:rPr>
          <w:rFonts w:hint="eastAsia" w:ascii="宋体" w:hAnsi="宋体"/>
          <w:color w:val="000000"/>
          <w:sz w:val="24"/>
          <w:highlight w:val="none"/>
        </w:rPr>
        <w:t xml:space="preserve">商量</w:t>
      </w:r>
      <w:r>
        <w:rPr>
          <w:rFonts w:ascii="宋体" w:hAnsi="宋体"/>
          <w:color w:val="000000"/>
          <w:sz w:val="24"/>
          <w:highlight w:val="none"/>
        </w:rPr>
        <w:t xml:space="preserve">解决货物</w:t>
      </w:r>
      <w:r>
        <w:rPr>
          <w:rFonts w:hint="eastAsia" w:ascii="宋体" w:hAnsi="宋体"/>
          <w:color w:val="000000"/>
          <w:sz w:val="24"/>
          <w:highlight w:val="none"/>
        </w:rPr>
        <w:t xml:space="preserve">质量</w:t>
      </w:r>
      <w:r>
        <w:rPr>
          <w:rFonts w:ascii="宋体" w:hAnsi="宋体"/>
          <w:color w:val="000000"/>
          <w:sz w:val="24"/>
          <w:highlight w:val="none"/>
        </w:rPr>
        <w:t xml:space="preserve">或缺陷问题。若乙方未</w:t>
      </w:r>
      <w:r>
        <w:rPr>
          <w:rFonts w:hint="eastAsia" w:ascii="宋体" w:hAnsi="宋体"/>
          <w:color w:val="000000"/>
          <w:sz w:val="24"/>
          <w:highlight w:val="none"/>
        </w:rPr>
        <w:t xml:space="preserve">在</w:t>
      </w:r>
      <w:r>
        <w:rPr>
          <w:rFonts w:ascii="宋体" w:hAnsi="宋体"/>
          <w:color w:val="000000"/>
          <w:sz w:val="24"/>
          <w:highlight w:val="none"/>
        </w:rPr>
        <w:t xml:space="preserve">上述约定时间</w:t>
      </w:r>
      <w:r>
        <w:rPr>
          <w:rFonts w:hint="eastAsia" w:ascii="宋体" w:hAnsi="宋体"/>
          <w:color w:val="000000"/>
          <w:sz w:val="24"/>
          <w:highlight w:val="none"/>
        </w:rPr>
        <w:t xml:space="preserve">内</w:t>
      </w:r>
      <w:r>
        <w:rPr>
          <w:rFonts w:ascii="宋体" w:hAnsi="宋体"/>
          <w:color w:val="000000"/>
          <w:sz w:val="24"/>
          <w:highlight w:val="none"/>
        </w:rPr>
        <w:t xml:space="preserve">到场解决，</w:t>
      </w:r>
      <w:r>
        <w:rPr>
          <w:rFonts w:hint="eastAsia" w:ascii="宋体" w:hAnsi="宋体"/>
          <w:color w:val="000000"/>
          <w:sz w:val="24"/>
          <w:highlight w:val="none"/>
        </w:rPr>
        <w:t xml:space="preserve">因此</w:t>
      </w:r>
      <w:r>
        <w:rPr>
          <w:rFonts w:ascii="宋体" w:hAnsi="宋体"/>
          <w:color w:val="000000"/>
          <w:sz w:val="24"/>
          <w:highlight w:val="none"/>
        </w:rPr>
        <w:t xml:space="preserve">产生的损失以及扩大损失全部由乙方承担，</w:t>
      </w:r>
      <w:r>
        <w:rPr>
          <w:rFonts w:hint="eastAsia" w:ascii="宋体" w:hAnsi="宋体"/>
          <w:color w:val="000000"/>
          <w:sz w:val="24"/>
          <w:highlight w:val="none"/>
        </w:rPr>
        <w:t xml:space="preserve">甲方</w:t>
      </w:r>
      <w:r>
        <w:rPr>
          <w:rFonts w:ascii="宋体" w:hAnsi="宋体"/>
          <w:color w:val="000000"/>
          <w:sz w:val="24"/>
          <w:highlight w:val="none"/>
        </w:rPr>
        <w:t xml:space="preserve">有权选择</w:t>
      </w:r>
      <w:r>
        <w:rPr>
          <w:rFonts w:hint="eastAsia" w:ascii="宋体" w:hAnsi="宋体"/>
          <w:color w:val="000000"/>
          <w:sz w:val="24"/>
          <w:highlight w:val="none"/>
        </w:rPr>
        <w:t xml:space="preserve">解除</w:t>
      </w:r>
      <w:r>
        <w:rPr>
          <w:rFonts w:ascii="宋体" w:hAnsi="宋体"/>
          <w:color w:val="000000"/>
          <w:sz w:val="24"/>
          <w:highlight w:val="none"/>
        </w:rPr>
        <w:t xml:space="preserve">合同，</w:t>
      </w:r>
      <w:r>
        <w:rPr>
          <w:rFonts w:hint="eastAsia" w:ascii="宋体" w:hAnsi="宋体"/>
          <w:color w:val="000000"/>
          <w:sz w:val="24"/>
          <w:highlight w:val="none"/>
        </w:rPr>
        <w:t xml:space="preserve">要求退还</w:t>
      </w:r>
      <w:r>
        <w:rPr>
          <w:rFonts w:ascii="宋体" w:hAnsi="宋体"/>
          <w:color w:val="000000"/>
          <w:sz w:val="24"/>
          <w:highlight w:val="none"/>
        </w:rPr>
        <w:t xml:space="preserve">全部货物，</w:t>
      </w:r>
      <w:r>
        <w:rPr>
          <w:rFonts w:hint="eastAsia" w:ascii="宋体" w:hAnsi="宋体"/>
          <w:color w:val="000000"/>
          <w:sz w:val="24"/>
          <w:highlight w:val="none"/>
        </w:rPr>
        <w:t xml:space="preserve">返还</w:t>
      </w:r>
      <w:r>
        <w:rPr>
          <w:rFonts w:ascii="宋体" w:hAnsi="宋体"/>
          <w:color w:val="000000"/>
          <w:sz w:val="24"/>
          <w:highlight w:val="none"/>
        </w:rPr>
        <w:t xml:space="preserve">所有货款，</w:t>
      </w:r>
      <w:r>
        <w:rPr>
          <w:rFonts w:hint="eastAsia" w:ascii="宋体" w:hAnsi="宋体"/>
          <w:color w:val="000000"/>
          <w:sz w:val="24"/>
          <w:highlight w:val="none"/>
        </w:rPr>
        <w:t xml:space="preserve">并</w:t>
      </w:r>
      <w:r>
        <w:rPr>
          <w:rFonts w:ascii="宋体" w:hAnsi="宋体"/>
          <w:color w:val="000000"/>
          <w:sz w:val="24"/>
          <w:highlight w:val="none"/>
        </w:rPr>
        <w:t xml:space="preserve">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或者</w:t>
      </w:r>
      <w:r>
        <w:rPr>
          <w:rFonts w:ascii="宋体" w:hAnsi="宋体"/>
          <w:color w:val="000000"/>
          <w:sz w:val="24"/>
          <w:highlight w:val="none"/>
        </w:rPr>
        <w:t xml:space="preserve">有权安排第三方</w:t>
      </w:r>
      <w:r>
        <w:rPr>
          <w:rFonts w:hint="eastAsia" w:ascii="宋体" w:hAnsi="宋体"/>
          <w:color w:val="000000"/>
          <w:sz w:val="24"/>
          <w:highlight w:val="none"/>
        </w:rPr>
        <w:t xml:space="preserve">解决</w:t>
      </w:r>
      <w:r>
        <w:rPr>
          <w:rFonts w:ascii="宋体" w:hAnsi="宋体"/>
          <w:color w:val="000000"/>
          <w:sz w:val="24"/>
          <w:highlight w:val="none"/>
        </w:rPr>
        <w:t xml:space="preserve">货物质量或缺陷问题，</w:t>
      </w:r>
      <w:r>
        <w:rPr>
          <w:rFonts w:hint="eastAsia" w:ascii="宋体" w:hAnsi="宋体"/>
          <w:color w:val="000000"/>
          <w:sz w:val="24"/>
          <w:highlight w:val="none"/>
        </w:rPr>
        <w:t xml:space="preserve">因此</w:t>
      </w:r>
      <w:r>
        <w:rPr>
          <w:rFonts w:ascii="宋体" w:hAnsi="宋体"/>
          <w:color w:val="000000"/>
          <w:sz w:val="24"/>
          <w:highlight w:val="none"/>
        </w:rPr>
        <w:t xml:space="preserve">产生</w:t>
      </w:r>
      <w:r>
        <w:rPr>
          <w:rFonts w:hint="eastAsia" w:ascii="宋体" w:hAnsi="宋体"/>
          <w:color w:val="000000"/>
          <w:sz w:val="24"/>
          <w:highlight w:val="none"/>
        </w:rPr>
        <w:t xml:space="preserve">的</w:t>
      </w:r>
      <w:r>
        <w:rPr>
          <w:rFonts w:ascii="宋体" w:hAnsi="宋体"/>
          <w:color w:val="000000"/>
          <w:sz w:val="24"/>
          <w:highlight w:val="none"/>
        </w:rPr>
        <w:t xml:space="preserve">所有费用全部由乙方承担，</w:t>
      </w:r>
      <w:r>
        <w:rPr>
          <w:rFonts w:hint="eastAsia" w:ascii="宋体" w:hAnsi="宋体"/>
          <w:color w:val="000000"/>
          <w:sz w:val="24"/>
          <w:highlight w:val="none"/>
        </w:rPr>
        <w:t xml:space="preserve">甲方可以</w:t>
      </w:r>
      <w:r>
        <w:rPr>
          <w:rFonts w:ascii="宋体" w:hAnsi="宋体"/>
          <w:color w:val="000000"/>
          <w:sz w:val="24"/>
          <w:highlight w:val="none"/>
        </w:rPr>
        <w:t xml:space="preserve">在应付乙方的货款中直接扣除，有权按照合同总额5%</w:t>
      </w:r>
      <w:r>
        <w:rPr>
          <w:rFonts w:hint="eastAsia" w:ascii="宋体" w:hAnsi="宋体"/>
          <w:color w:val="000000"/>
          <w:sz w:val="24"/>
          <w:highlight w:val="none"/>
        </w:rPr>
        <w:t xml:space="preserve">标准</w:t>
      </w:r>
      <w:r>
        <w:rPr>
          <w:rFonts w:ascii="宋体" w:hAnsi="宋体"/>
          <w:color w:val="000000"/>
          <w:sz w:val="24"/>
          <w:highlight w:val="none"/>
        </w:rPr>
        <w:t xml:space="preserve">向乙方主张违约金</w:t>
      </w:r>
      <w:r>
        <w:rPr>
          <w:rFonts w:hint="eastAsia" w:ascii="宋体" w:hAnsi="宋体"/>
          <w:color w:val="000000"/>
          <w:sz w:val="24"/>
          <w:highlight w:val="none"/>
        </w:rPr>
        <w:t xml:space="preserve">。</w:t>
      </w:r>
      <w:r>
        <w:rPr>
          <w:rFonts w:ascii="宋体" w:hAnsi="宋体"/>
          <w:color w:val="000000"/>
          <w:sz w:val="24"/>
          <w:highlight w:val="none"/>
        </w:rPr>
        <w:t xml:space="preserve">若上述违约金不足以弥补甲方直接损失和</w:t>
      </w:r>
      <w:r>
        <w:rPr>
          <w:rFonts w:hint="eastAsia" w:ascii="宋体" w:hAnsi="宋体"/>
          <w:color w:val="000000"/>
          <w:sz w:val="24"/>
          <w:highlight w:val="none"/>
        </w:rPr>
        <w:t xml:space="preserve">间接</w:t>
      </w:r>
      <w:r>
        <w:rPr>
          <w:rFonts w:ascii="宋体" w:hAnsi="宋体"/>
          <w:color w:val="000000"/>
          <w:sz w:val="24"/>
          <w:highlight w:val="none"/>
        </w:rPr>
        <w:t xml:space="preserve">损失，</w:t>
      </w:r>
      <w:r>
        <w:rPr>
          <w:rFonts w:hint="eastAsia" w:ascii="宋体" w:hAnsi="宋体"/>
          <w:color w:val="000000"/>
          <w:sz w:val="24"/>
          <w:highlight w:val="none"/>
        </w:rPr>
        <w:t xml:space="preserve">则</w:t>
      </w:r>
      <w:r>
        <w:rPr>
          <w:rFonts w:ascii="宋体" w:hAnsi="宋体"/>
          <w:color w:val="000000"/>
          <w:sz w:val="24"/>
          <w:highlight w:val="none"/>
        </w:rPr>
        <w:t xml:space="preserve">乙方应赔偿</w:t>
      </w:r>
      <w:r>
        <w:rPr>
          <w:rFonts w:hint="eastAsia" w:ascii="宋体" w:hAnsi="宋体"/>
          <w:color w:val="000000"/>
          <w:sz w:val="24"/>
          <w:highlight w:val="none"/>
        </w:rPr>
        <w:t xml:space="preserve">甲方</w:t>
      </w:r>
      <w:r>
        <w:rPr>
          <w:rFonts w:ascii="宋体" w:hAnsi="宋体"/>
          <w:color w:val="000000"/>
          <w:sz w:val="24"/>
          <w:highlight w:val="none"/>
        </w:rPr>
        <w:t xml:space="preserve">所有损失。</w:t>
      </w:r>
      <w:r>
        <w:rPr>
          <w:rFonts w:ascii="宋体" w:hAnsi="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甲方因主张上述权利而支出的所有合理费用，包括但不限于律师费、诉讼费、鉴定费、差旅费、保函费等，均由乙方承担。</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第十六条 争议的解决</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2.因履行本合同引起的或与本合同有关的争议，甲、乙双方应首先通过友好协商解决，如果协商不能解决争议，则采取以下第（ ）种方式解决争议：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（1）向甲方所在地有人民法院提起诉讼；</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（2）向甲方所在地仲裁委员会按其仲裁规则申请仲裁。</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如没有约定，默认采取第2种方式解决争议。</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3、在法院审理和仲裁期间，除有争议部分外，本合同其他部分应继续履行。</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第十七条 诚实信用 </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乙方应诚实信用，严格按照招标文件要求和投标承诺履行合同，不向甲方进行商业贿赂或者提供不正当利益。</w:t>
      </w:r>
      <w:r>
        <w:rPr>
          <w:rFonts w:ascii="宋体" w:hAnsi="宋体" w:cs="宋体"/>
          <w:color w:val="000000"/>
          <w:sz w:val="24"/>
          <w:highlight w:val="none"/>
        </w:rPr>
      </w:r>
      <w:r/>
    </w:p>
    <w:p>
      <w:pPr>
        <w:pStyle w:val="1072"/>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第十八条 合同生效及其他</w:t>
      </w:r>
      <w:r>
        <w:rPr>
          <w:rFonts w:ascii="宋体" w:hAnsi="宋体" w:cs="宋体"/>
          <w:b/>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1.本合同自经甲乙双方授权代表签订并加盖公章后，自签订之日起生效。</w:t>
      </w:r>
      <w:r>
        <w:rPr>
          <w:rFonts w:ascii="宋体" w:hAnsi="宋体" w:cs="宋体"/>
          <w:color w:val="000000"/>
          <w:sz w:val="24"/>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2.本合同一式伍份，甲乙双方各执贰份，代理机构执壹份存档。</w:t>
      </w:r>
      <w:r>
        <w:rPr>
          <w:rFonts w:ascii="宋体" w:hAnsi="宋体" w:cs="宋体"/>
          <w:color w:val="000000"/>
          <w:sz w:val="24"/>
          <w:highlight w:val="none"/>
        </w:rPr>
      </w:r>
      <w:r/>
    </w:p>
    <w:p>
      <w:pPr>
        <w:pStyle w:val="1072"/>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3.本合同应按照中华人民共和国的现行法律进行解释。</w:t>
      </w:r>
      <w:r>
        <w:rPr>
          <w:rFonts w:hint="eastAsia" w:ascii="宋体" w:hAnsi="宋体" w:cs="宋体"/>
          <w:color w:val="000000"/>
          <w:sz w:val="24"/>
          <w:highlight w:val="none"/>
        </w:rPr>
      </w:r>
      <w:r/>
    </w:p>
    <w:p>
      <w:pPr>
        <w:pStyle w:val="1072"/>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4.本合同包含附件1配置清单、附件2中标通知书。</w:t>
      </w:r>
      <w:r>
        <w:rPr>
          <w:rFonts w:ascii="宋体" w:hAnsi="宋体" w:eastAsia="宋体" w:cs="宋体"/>
          <w:color w:val="000000"/>
          <w:sz w:val="24"/>
          <w:highlight w:val="none"/>
          <w:lang w:val="en-US" w:eastAsia="zh-CN"/>
        </w:rPr>
      </w:r>
      <w:r/>
    </w:p>
    <w:p>
      <w:pPr>
        <w:pStyle w:val="1072"/>
        <w:jc w:val="left"/>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pStyle w:val="1072"/>
        <w:jc w:val="left"/>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单位名称（章）：                          单位名称（章）：</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单位地址：                               单位地址：</w:t>
      </w:r>
      <w:r>
        <w:rPr>
          <w:rFonts w:ascii="宋体" w:hAnsi="宋体" w:cs="宋体"/>
          <w:color w:val="000000"/>
          <w:sz w:val="24"/>
          <w:highlight w:val="none"/>
          <w:u w:val="singl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委托代理人：          法定代表人：     委托代理人：                            </w:t>
      </w:r>
      <w:r>
        <w:rPr>
          <w:rFonts w:ascii="宋体" w:hAnsi="宋体" w:cs="宋体"/>
          <w:color w:val="000000"/>
          <w:sz w:val="24"/>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电话：                                   电话：            传真：</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t xml:space="preserve">传真：                                   开户银行：        账号：       </w:t>
      </w: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eastAsia="宋体" w:cs="宋体"/>
          <w:color w:val="000000"/>
          <w:sz w:val="24"/>
          <w:highlight w:val="none"/>
          <w:lang w:eastAsia="zh-CN"/>
        </w:rPr>
        <w:outlineLvl w:val="0"/>
      </w:pPr>
      <w:r>
        <w:rPr>
          <w:rFonts w:hint="eastAsia" w:ascii="宋体" w:hAnsi="宋体" w:eastAsia="宋体" w:cs="宋体"/>
          <w:color w:val="000000"/>
          <w:sz w:val="24"/>
          <w:highlight w:val="none"/>
          <w:lang w:eastAsia="zh-CN"/>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72"/>
        <w:jc w:val="center"/>
        <w:spacing w:line="360"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72"/>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t xml:space="preserve">第七章   投标文件格式</w:t>
      </w:r>
      <w:bookmarkEnd w:id="811"/>
      <w:r>
        <w:rPr>
          <w:rFonts w:ascii="宋体" w:hAnsi="宋体"/>
          <w:b/>
          <w:color w:val="000000"/>
          <w:sz w:val="36"/>
          <w:szCs w:val="36"/>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72"/>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72"/>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72"/>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72"/>
        <w:jc w:val="left"/>
        <w:keepLines/>
        <w:keepNext/>
        <w:spacing w:before="120" w:line="300" w:lineRule="auto"/>
        <w:rPr>
          <w:rFonts w:ascii="宋体" w:hAnsi="宋体"/>
          <w:b/>
          <w:color w:val="000000"/>
          <w:sz w:val="30"/>
          <w:szCs w:val="20"/>
          <w:highlight w:val="none"/>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72"/>
        <w:rPr>
          <w:rFonts w:ascii="宋体" w:hAnsi="宋体"/>
          <w:b/>
          <w:color w:val="000000"/>
          <w:spacing w:val="20"/>
          <w:szCs w:val="21"/>
          <w:highlight w:val="none"/>
        </w:rPr>
      </w:pPr>
      <w:r>
        <w:rPr>
          <w:rFonts w:ascii="宋体" w:hAnsi="宋体"/>
          <w:b/>
          <w:color w:val="000000"/>
          <w:spacing w:val="20"/>
          <w:szCs w:val="21"/>
          <w:highlight w:val="none"/>
        </w:rPr>
      </w:r>
      <w:r/>
    </w:p>
    <w:p>
      <w:pPr>
        <w:pStyle w:val="1072"/>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72"/>
        <w:jc w:val="center"/>
        <w:rPr>
          <w:rFonts w:ascii="宋体" w:hAnsi="宋体"/>
          <w:color w:val="000000"/>
          <w:szCs w:val="21"/>
          <w:highlight w:val="none"/>
        </w:rPr>
      </w:pPr>
      <w:r>
        <w:rPr>
          <w:rFonts w:ascii="宋体" w:hAnsi="宋体"/>
          <w:color w:val="000000"/>
          <w:szCs w:val="21"/>
          <w:highlight w:val="none"/>
        </w:rPr>
      </w:r>
      <w:r/>
    </w:p>
    <w:p>
      <w:pPr>
        <w:pStyle w:val="1072"/>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7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7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72"/>
        <w:jc w:val="center"/>
        <w:rPr>
          <w:rFonts w:ascii="宋体" w:hAnsi="宋体"/>
          <w:b/>
          <w:color w:val="000000"/>
          <w:sz w:val="32"/>
          <w:szCs w:val="32"/>
          <w:highlight w:val="none"/>
        </w:rPr>
      </w:pPr>
      <w:r>
        <w:rPr>
          <w:rFonts w:ascii="宋体" w:hAnsi="宋体"/>
          <w:b/>
          <w:color w:val="000000"/>
          <w:sz w:val="32"/>
          <w:szCs w:val="32"/>
          <w:highlight w:val="none"/>
        </w:rPr>
      </w:r>
      <w:r/>
    </w:p>
    <w:p>
      <w:pPr>
        <w:pStyle w:val="1072"/>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72"/>
        <w:rPr>
          <w:rFonts w:ascii="宋体" w:hAnsi="宋体"/>
          <w:b/>
          <w:color w:val="000000"/>
          <w:highlight w:val="none"/>
        </w:rPr>
      </w:pPr>
      <w:r>
        <w:rPr>
          <w:rFonts w:ascii="宋体" w:hAnsi="宋体"/>
          <w:b/>
          <w:color w:val="000000"/>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75"/>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72"/>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72"/>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086"/>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1086"/>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1086"/>
        <w:ind w:firstLine="492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72"/>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72"/>
        <w:jc w:val="left"/>
        <w:widowControl/>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72"/>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其他特定资格要求</w:t>
      </w:r>
      <w:r>
        <w:rPr>
          <w:rFonts w:hint="eastAsia" w:ascii="宋体" w:hAnsi="宋体"/>
          <w:b/>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13" w:name="_Toc226337252"/>
      <w:r/>
      <w:bookmarkStart w:id="814" w:name="_Toc150480794"/>
      <w:r/>
      <w:bookmarkStart w:id="815" w:name="_Toc150774761"/>
      <w:r/>
      <w:bookmarkStart w:id="816" w:name="_Toc226965746"/>
      <w:r/>
      <w:bookmarkStart w:id="817" w:name="_Toc520356217"/>
      <w:r/>
      <w:bookmarkStart w:id="818" w:name="_Toc127151556"/>
      <w:r/>
      <w:bookmarkStart w:id="819" w:name="_Toc226309800"/>
      <w:r/>
      <w:bookmarkStart w:id="820" w:name="_Toc226965829"/>
      <w:r/>
      <w:bookmarkStart w:id="821" w:name="_Ref467988698"/>
      <w:r/>
      <w:bookmarkStart w:id="822" w:name="_Toc195842921"/>
      <w:r/>
      <w:bookmarkStart w:id="823" w:name="_Toc142311058"/>
      <w:r/>
      <w:bookmarkStart w:id="824" w:name="_Toc480942349"/>
      <w:r>
        <w:rPr>
          <w:rFonts w:hint="eastAsia" w:ascii="宋体" w:hAnsi="宋体"/>
          <w:b/>
          <w:color w:val="000000"/>
          <w:sz w:val="32"/>
          <w:szCs w:val="32"/>
          <w:highlight w:val="none"/>
        </w:rPr>
      </w:r>
      <w:r/>
    </w:p>
    <w:p>
      <w:pPr>
        <w:pStyle w:val="1072"/>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72"/>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72"/>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72"/>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72"/>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（4）如我方中标，我方将在法律规定的期限内与你方签订合同，按照招标文件要求在合同约定的期限内完成合同规定的全部义务。</w:t>
      </w:r>
      <w:r>
        <w:rPr>
          <w:rFonts w:ascii="宋体" w:hAnsi="宋体"/>
          <w:color w:val="000000"/>
          <w:sz w:val="24"/>
          <w:highlight w:val="none"/>
        </w:rPr>
      </w:r>
      <w:r/>
    </w:p>
    <w:p>
      <w:pPr>
        <w:pStyle w:val="1072"/>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72"/>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72"/>
        <w:jc w:val="left"/>
        <w:widowControl/>
        <w:rPr>
          <w:rFonts w:hint="eastAsia" w:ascii="宋体" w:hAnsi="宋体"/>
          <w:b/>
          <w:color w:val="000000"/>
          <w:sz w:val="24"/>
          <w:highlight w:val="none"/>
        </w:rPr>
      </w:pPr>
      <w:r/>
      <w:bookmarkStart w:id="825" w:name="_Hlt520355938"/>
      <w:r/>
      <w:bookmarkEnd w:id="825"/>
      <w:r/>
      <w:bookmarkStart w:id="826" w:name="_Hlt520356243"/>
      <w:r/>
      <w:bookmarkEnd w:id="826"/>
      <w:r>
        <w:rPr>
          <w:rFonts w:ascii="宋体" w:hAnsi="宋体"/>
          <w:color w:val="000000"/>
          <w:sz w:val="24"/>
          <w:highlight w:val="none"/>
        </w:rPr>
        <w:br w:type="page" w:clear="all"/>
      </w:r>
      <w:r>
        <w:rPr>
          <w:rFonts w:hint="eastAsia" w:ascii="宋体" w:hAnsi="宋体"/>
          <w:b/>
          <w:color w:val="000000"/>
          <w:sz w:val="24"/>
          <w:highlight w:val="none"/>
        </w:rPr>
      </w:r>
      <w:r/>
    </w:p>
    <w:p>
      <w:pPr>
        <w:pStyle w:val="1072"/>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ascii="宋体" w:hAnsi="宋体"/>
          <w:color w:val="000000"/>
          <w:sz w:val="24"/>
          <w:highlight w:val="none"/>
        </w:rPr>
      </w:r>
      <w:r/>
    </w:p>
    <w:p>
      <w:pPr>
        <w:pStyle w:val="110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72"/>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72"/>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72"/>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72"/>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25"/>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72"/>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72"/>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72"/>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51"/>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72"/>
        <w:spacing w:line="400" w:lineRule="exact"/>
        <w:rPr>
          <w:rFonts w:ascii="宋体" w:hAnsi="宋体" w:cs="宋体"/>
          <w:color w:val="000000"/>
          <w:sz w:val="24"/>
          <w:highlight w:val="none"/>
        </w:rPr>
      </w:pPr>
      <w:r>
        <w:rPr>
          <w:rFonts w:ascii="宋体" w:hAnsi="宋体" w:cs="宋体"/>
          <w:color w:val="000000"/>
          <w:sz w:val="24"/>
          <w:highlight w:val="none"/>
        </w:rPr>
      </w:r>
      <w:r/>
    </w:p>
    <w:p>
      <w:pPr>
        <w:pStyle w:val="1103"/>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72"/>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03"/>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72"/>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7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1.法定代表人参加投标时，不需要提供本授权委托书，需提供本人身份证。</w:t>
      </w:r>
      <w:r>
        <w:rPr>
          <w:rFonts w:ascii="宋体" w:hAnsi="宋体" w:cs="宋体"/>
          <w:color w:val="000000"/>
          <w:szCs w:val="21"/>
          <w:highlight w:val="none"/>
        </w:rPr>
      </w:r>
      <w:r/>
    </w:p>
    <w:p>
      <w:pPr>
        <w:pStyle w:val="1325"/>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72"/>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72"/>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72"/>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72"/>
        <w:ind w:firstLine="640"/>
        <w:rPr>
          <w:rFonts w:ascii="宋体" w:hAnsi="宋体"/>
          <w:color w:val="000000"/>
          <w:highlight w:val="none"/>
        </w:rPr>
      </w:pPr>
      <w:r>
        <w:rPr>
          <w:rFonts w:ascii="宋体" w:hAnsi="宋体"/>
          <w:color w:val="000000"/>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72"/>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20"/>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27" w:name="_Hlt520274407"/>
      <w:r/>
      <w:bookmarkEnd w:id="827"/>
      <w:r/>
      <w:bookmarkStart w:id="828" w:name="_Hlt520355504"/>
      <w:r/>
      <w:bookmarkEnd w:id="828"/>
      <w:r/>
      <w:bookmarkStart w:id="829" w:name="_Hlt520343000"/>
      <w:r/>
      <w:bookmarkEnd w:id="829"/>
      <w:r/>
      <w:bookmarkStart w:id="830" w:name="_Hlt520274065"/>
      <w:r/>
      <w:bookmarkEnd w:id="830"/>
      <w:r/>
      <w:bookmarkStart w:id="831" w:name="_Hlt520350918"/>
      <w:r/>
      <w:bookmarkEnd w:id="831"/>
      <w:r/>
      <w:bookmarkStart w:id="832" w:name="_Hlt520273711"/>
      <w:r/>
      <w:bookmarkEnd w:id="832"/>
      <w:r/>
      <w:bookmarkStart w:id="833" w:name="_Hlt520274393"/>
      <w:r/>
      <w:bookmarkEnd w:id="833"/>
      <w:r/>
      <w:bookmarkStart w:id="834" w:name="_Hlt520343392"/>
      <w:r/>
      <w:bookmarkEnd w:id="834"/>
      <w:r/>
      <w:bookmarkStart w:id="835" w:name="_Hlt520271212"/>
      <w:r/>
      <w:bookmarkEnd w:id="835"/>
      <w:r/>
      <w:bookmarkStart w:id="836" w:name="_Hlt520274121"/>
      <w:r/>
      <w:bookmarkEnd w:id="836"/>
      <w:r/>
      <w:bookmarkStart w:id="837" w:name="_Toc265228395"/>
      <w:r/>
      <w:bookmarkStart w:id="838" w:name="_Ref467988705"/>
      <w:r/>
      <w:bookmarkStart w:id="839" w:name="_Toc226965830"/>
      <w:r/>
      <w:bookmarkStart w:id="840" w:name="_Toc226337253"/>
      <w:r/>
      <w:bookmarkStart w:id="841" w:name="_Toc305158899"/>
      <w:r/>
      <w:bookmarkStart w:id="842" w:name="_Toc142311059"/>
      <w:r/>
      <w:bookmarkStart w:id="843" w:name="_Toc127151557"/>
      <w:r/>
      <w:bookmarkStart w:id="844" w:name="_Toc305158825"/>
      <w:r/>
      <w:bookmarkStart w:id="845" w:name="_Toc226309801"/>
      <w:r/>
      <w:bookmarkStart w:id="846" w:name="_Toc520356218"/>
      <w:r/>
      <w:bookmarkStart w:id="847" w:name="_Toc150774762"/>
      <w:r/>
      <w:bookmarkStart w:id="848" w:name="_Toc195842922"/>
      <w:r/>
      <w:bookmarkStart w:id="849" w:name="_Toc264969247"/>
      <w:r/>
      <w:bookmarkStart w:id="850" w:name="_Toc480942350"/>
      <w:r/>
      <w:bookmarkStart w:id="851" w:name="_Toc226965747"/>
      <w:r/>
      <w:bookmarkStart w:id="852" w:name="_Toc150480795"/>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b/>
          <w:color w:val="000000"/>
          <w:sz w:val="36"/>
          <w:szCs w:val="36"/>
          <w:highlight w:val="none"/>
        </w:rPr>
      </w:pPr>
      <w:r/>
      <w:bookmarkStart w:id="853" w:name="_Toc226309802"/>
      <w:r/>
      <w:bookmarkStart w:id="854" w:name="_Toc164608672"/>
      <w:r/>
      <w:bookmarkStart w:id="855" w:name="_Toc226965748"/>
      <w:r/>
      <w:bookmarkStart w:id="856" w:name="_Toc305158826"/>
      <w:r/>
      <w:bookmarkStart w:id="857" w:name="_Toc226965831"/>
      <w:r/>
      <w:bookmarkStart w:id="858" w:name="_Toc305158900"/>
      <w:r/>
      <w:bookmarkStart w:id="859" w:name="_Toc226337254"/>
      <w:r/>
      <w:bookmarkStart w:id="860" w:name="_Toc264969248"/>
      <w:r/>
      <w:bookmarkStart w:id="861" w:name="_Toc265228396"/>
      <w:r/>
      <w:bookmarkStart w:id="862" w:name="_Toc164608827"/>
      <w:r/>
      <w:bookmarkStart w:id="863" w:name="_Toc195842923"/>
      <w:r>
        <w:rPr>
          <w:rFonts w:hint="eastAsia" w:ascii="宋体" w:hAnsi="宋体"/>
          <w:b/>
          <w:color w:val="000000"/>
          <w:sz w:val="36"/>
          <w:szCs w:val="36"/>
          <w:highlight w:val="none"/>
        </w:rPr>
        <w:t xml:space="preserve">开标一览表</w:t>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color w:val="000000"/>
          <w:sz w:val="36"/>
          <w:szCs w:val="36"/>
          <w:highlight w:val="none"/>
        </w:rPr>
      </w:r>
      <w:r/>
    </w:p>
    <w:p>
      <w:pPr>
        <w:pStyle w:val="1072"/>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72"/>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72"/>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72"/>
        <w:jc w:val="left"/>
        <w:rPr>
          <w:rFonts w:ascii="宋体" w:hAnsi="宋体"/>
          <w:color w:val="000000"/>
          <w:sz w:val="24"/>
          <w:highlight w:val="none"/>
        </w:rPr>
      </w:pPr>
      <w:r>
        <w:rPr>
          <w:rFonts w:ascii="宋体" w:hAnsi="宋体"/>
          <w:color w:val="000000"/>
          <w:sz w:val="24"/>
          <w:highlight w:val="none"/>
        </w:rPr>
      </w:r>
      <w:r/>
    </w:p>
    <w:p>
      <w:pPr>
        <w:pStyle w:val="1072"/>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72"/>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bookmarkStart w:id="864" w:name="_Toc150774763"/>
      <w:r/>
      <w:bookmarkStart w:id="865" w:name="_Toc264969249"/>
      <w:r/>
      <w:bookmarkStart w:id="866" w:name="_Toc226309803"/>
      <w:r/>
      <w:bookmarkStart w:id="867" w:name="_Toc226965749"/>
      <w:r/>
      <w:bookmarkStart w:id="868" w:name="_Toc142311060"/>
      <w:r/>
      <w:bookmarkStart w:id="869" w:name="_Toc226337255"/>
      <w:r/>
      <w:bookmarkStart w:id="870" w:name="_Toc226965832"/>
      <w:r/>
      <w:bookmarkStart w:id="871" w:name="_Toc305158827"/>
      <w:r/>
      <w:bookmarkStart w:id="872" w:name="_Toc195842924"/>
      <w:r/>
      <w:bookmarkStart w:id="873" w:name="_Toc127151558"/>
      <w:r/>
      <w:bookmarkStart w:id="874" w:name="_Toc305158901"/>
      <w:r/>
      <w:bookmarkStart w:id="875" w:name="_Toc265228397"/>
      <w:r/>
      <w:bookmarkStart w:id="876" w:name="_Toc150480796"/>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72"/>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72"/>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72"/>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72"/>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72"/>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bl>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72"/>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72"/>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b/>
          <w:i/>
          <w:color w:val="000000"/>
          <w:sz w:val="24"/>
          <w:highlight w:val="none"/>
        </w:rPr>
        <w:br w:type="page" w:clear="all"/>
      </w:r>
      <w:bookmarkStart w:id="877" w:name="_Toc150480798"/>
      <w:r/>
      <w:bookmarkStart w:id="878" w:name="_Toc265228400"/>
      <w:r/>
      <w:bookmarkStart w:id="879" w:name="_Toc142311062"/>
      <w:r/>
      <w:bookmarkStart w:id="880" w:name="_Toc226965752"/>
      <w:r/>
      <w:bookmarkStart w:id="881" w:name="_Toc305158830"/>
      <w:r/>
      <w:bookmarkStart w:id="882" w:name="_Toc226309806"/>
      <w:r/>
      <w:bookmarkStart w:id="883" w:name="_Toc264969252"/>
      <w:r/>
      <w:bookmarkStart w:id="884" w:name="_Toc195842927"/>
      <w:r/>
      <w:bookmarkStart w:id="885" w:name="_Toc226337258"/>
      <w:r/>
      <w:bookmarkStart w:id="886" w:name="_Toc226965835"/>
      <w:r/>
      <w:bookmarkStart w:id="887" w:name="_Toc305158904"/>
      <w:r/>
      <w:bookmarkStart w:id="888" w:name="_Toc127151562"/>
      <w:r/>
      <w:bookmarkStart w:id="889" w:name="_Toc150774765"/>
      <w:r/>
      <w:bookmarkStart w:id="890" w:name="_Toc195842926"/>
      <w:r/>
      <w:bookmarkStart w:id="891" w:name="_Toc305158829"/>
      <w:r/>
      <w:bookmarkStart w:id="892" w:name="_Toc150480797"/>
      <w:r/>
      <w:bookmarkStart w:id="893" w:name="_Toc305158903"/>
      <w:r/>
      <w:bookmarkStart w:id="894" w:name="_Toc226337257"/>
      <w:r/>
      <w:bookmarkStart w:id="895" w:name="_Toc150774764"/>
      <w:r/>
      <w:bookmarkStart w:id="896" w:name="_Toc226965834"/>
      <w:r/>
      <w:bookmarkStart w:id="897" w:name="_Toc226309805"/>
      <w:r/>
      <w:bookmarkStart w:id="898" w:name="_Toc265228399"/>
      <w:r/>
      <w:bookmarkStart w:id="899" w:name="_Toc264969251"/>
      <w:r/>
      <w:bookmarkStart w:id="900" w:name="_Toc142311061"/>
      <w:r/>
      <w:bookmarkStart w:id="901" w:name="_Toc226965751"/>
      <w:r/>
      <w:bookmarkStart w:id="902" w:name="_Toc127151561"/>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77"/>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72"/>
              <w:jc w:val="left"/>
              <w:rPr>
                <w:rFonts w:ascii="宋体" w:hAnsi="宋体"/>
                <w:b/>
                <w:color w:val="000000"/>
                <w:sz w:val="24"/>
                <w:highlight w:val="none"/>
              </w:rPr>
            </w:pPr>
            <w:r/>
            <w:bookmarkStart w:id="903" w:name="OLE_LINK2"/>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bookmarkEnd w:id="903"/>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72"/>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72"/>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72"/>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72"/>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72"/>
              <w:jc w:val="center"/>
              <w:rPr>
                <w:rFonts w:ascii="宋体" w:hAnsi="宋体"/>
                <w:color w:val="000000"/>
                <w:sz w:val="24"/>
                <w:highlight w:val="none"/>
              </w:rPr>
            </w:pPr>
            <w:r>
              <w:rPr>
                <w:rFonts w:ascii="宋体" w:hAnsi="宋体"/>
                <w:color w:val="000000"/>
                <w:sz w:val="24"/>
                <w:highlight w:val="none"/>
              </w:rPr>
            </w:r>
            <w:r/>
          </w:p>
        </w:tc>
      </w:tr>
    </w:tbl>
    <w:p>
      <w:pPr>
        <w:pStyle w:val="1072"/>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1072"/>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72"/>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72"/>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48"/>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72"/>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72"/>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72"/>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72"/>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72"/>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72"/>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hint="eastAsia" w:ascii="宋体" w:hAnsi="宋体"/>
          <w:i/>
          <w:color w:val="000000"/>
          <w:sz w:val="24"/>
          <w:highlight w:val="none"/>
          <w:u w:val="single"/>
        </w:rPr>
        <w:t xml:space="preserve">工</w:t>
      </w:r>
      <w:r>
        <w:rPr>
          <w:rFonts w:ascii="宋体" w:hAnsi="宋体"/>
          <w:i/>
          <w:color w:val="000000"/>
          <w:sz w:val="24"/>
          <w:highlight w:val="none"/>
          <w:u w:val="single"/>
        </w:rPr>
        <w:t xml:space="preserve">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72"/>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72"/>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72"/>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72"/>
        <w:ind w:firstLine="420"/>
        <w:jc w:val="left"/>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ind w:right="360"/>
        <w:spacing w:line="360" w:lineRule="auto"/>
        <w:rPr>
          <w:rFonts w:ascii="宋体" w:hAnsi="宋体"/>
          <w:color w:val="000000"/>
          <w:sz w:val="24"/>
          <w:highlight w:val="none"/>
        </w:rPr>
      </w:pPr>
      <w:r>
        <w:rPr>
          <w:rFonts w:ascii="宋体" w:hAnsi="宋体"/>
          <w:color w:val="000000"/>
          <w:sz w:val="24"/>
          <w:highlight w:val="none"/>
        </w:rPr>
      </w:r>
      <w:r/>
    </w:p>
    <w:p>
      <w:pPr>
        <w:pStyle w:val="1072"/>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72"/>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072"/>
        <w:jc w:val="center"/>
        <w:spacing w:before="240" w:after="240" w:line="360" w:lineRule="auto"/>
        <w:rPr>
          <w:rFonts w:ascii="宋体" w:hAnsi="宋体"/>
          <w:color w:val="000000"/>
          <w:sz w:val="36"/>
          <w:szCs w:val="36"/>
          <w:highlight w:val="none"/>
        </w:rPr>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72"/>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72"/>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72"/>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72"/>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72"/>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highlight w:val="none"/>
        </w:rPr>
        <w:t xml:space="preserve">10</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72"/>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72"/>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72"/>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11  参加本项目人员一览表</w:t>
      </w:r>
      <w:r>
        <w:rPr>
          <w:rFonts w:ascii="宋体" w:hAnsi="宋体"/>
          <w:b/>
          <w:color w:val="000000"/>
          <w:sz w:val="24"/>
          <w:highlight w:val="none"/>
        </w:rPr>
      </w:r>
      <w:r/>
    </w:p>
    <w:p>
      <w:pPr>
        <w:pStyle w:val="1072"/>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7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72"/>
        <w:spacing w:line="360" w:lineRule="auto"/>
        <w:rPr>
          <w:rFonts w:ascii="宋体" w:hAnsi="宋体"/>
          <w:color w:val="000000"/>
          <w:sz w:val="22"/>
          <w:highlight w:val="none"/>
        </w:rPr>
      </w:pPr>
      <w:r>
        <w:rPr>
          <w:rFonts w:ascii="宋体" w:hAnsi="宋体"/>
          <w:color w:val="000000"/>
          <w:sz w:val="22"/>
          <w:highlight w:val="none"/>
        </w:rPr>
      </w:r>
      <w:r/>
    </w:p>
    <w:p>
      <w:pPr>
        <w:pStyle w:val="107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72"/>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72"/>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72"/>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72"/>
        <w:spacing w:line="360" w:lineRule="auto"/>
        <w:rPr>
          <w:rFonts w:ascii="宋体" w:hAnsi="宋体"/>
          <w:color w:val="000000"/>
          <w:sz w:val="24"/>
          <w:highlight w:val="none"/>
        </w:rPr>
      </w:pPr>
      <w:r>
        <w:rPr>
          <w:rFonts w:ascii="宋体" w:hAnsi="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72"/>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04" w:name="_Toc288738397"/>
      <w:r/>
      <w:bookmarkStart w:id="905" w:name="_Toc288738839"/>
      <w:r>
        <w:rPr>
          <w:rFonts w:hint="eastAsia" w:ascii="宋体" w:hAnsi="宋体"/>
          <w:b/>
          <w:color w:val="000000"/>
          <w:sz w:val="24"/>
          <w:highlight w:val="none"/>
        </w:rPr>
        <w:t xml:space="preserve">12  相关业绩案例一览表</w:t>
      </w:r>
      <w:r>
        <w:rPr>
          <w:rFonts w:ascii="宋体" w:hAnsi="宋体"/>
          <w:b/>
          <w:color w:val="000000"/>
          <w:sz w:val="24"/>
          <w:szCs w:val="20"/>
          <w:highlight w:val="none"/>
        </w:rPr>
      </w:r>
      <w:r/>
    </w:p>
    <w:p>
      <w:pPr>
        <w:pStyle w:val="1072"/>
        <w:rPr>
          <w:rFonts w:ascii="宋体" w:hAnsi="宋体"/>
          <w:color w:val="000000"/>
          <w:sz w:val="24"/>
          <w:szCs w:val="20"/>
          <w:highlight w:val="none"/>
        </w:rPr>
      </w:pPr>
      <w:r>
        <w:rPr>
          <w:rFonts w:ascii="宋体" w:hAnsi="宋体"/>
          <w:color w:val="000000"/>
          <w:sz w:val="24"/>
          <w:szCs w:val="20"/>
          <w:highlight w:val="none"/>
        </w:rPr>
      </w:r>
      <w:r/>
    </w:p>
    <w:p>
      <w:pPr>
        <w:pStyle w:val="1072"/>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04"/>
      <w:r/>
      <w:bookmarkEnd w:id="905"/>
      <w:r>
        <w:rPr>
          <w:rFonts w:ascii="宋体" w:hAnsi="宋体"/>
          <w:b/>
          <w:color w:val="000000"/>
          <w:sz w:val="32"/>
          <w:szCs w:val="32"/>
          <w:highlight w:val="none"/>
        </w:rPr>
      </w:r>
      <w:r/>
    </w:p>
    <w:p>
      <w:pPr>
        <w:pStyle w:val="107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7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72"/>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72"/>
        <w:spacing w:line="360" w:lineRule="auto"/>
        <w:rPr>
          <w:rFonts w:ascii="宋体" w:hAnsi="宋体" w:cs="宋体"/>
          <w:color w:val="000000"/>
          <w:sz w:val="24"/>
          <w:highlight w:val="none"/>
        </w:rPr>
      </w:pPr>
      <w:r>
        <w:rPr>
          <w:rFonts w:ascii="宋体" w:hAnsi="宋体" w:cs="宋体"/>
          <w:color w:val="000000"/>
          <w:sz w:val="24"/>
          <w:highlight w:val="none"/>
        </w:rPr>
      </w:r>
      <w:r/>
    </w:p>
    <w:p>
      <w:pPr>
        <w:pStyle w:val="1072"/>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72"/>
        <w:spacing w:before="25" w:after="25" w:line="360" w:lineRule="auto"/>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72"/>
        <w:spacing w:before="25" w:after="25" w:line="360" w:lineRule="auto"/>
        <w:rPr>
          <w:rFonts w:ascii="宋体" w:hAnsi="宋体"/>
          <w:color w:val="000000"/>
          <w:sz w:val="24"/>
          <w:szCs w:val="20"/>
          <w:highlight w:val="none"/>
        </w:rPr>
      </w:pPr>
      <w:r>
        <w:rPr>
          <w:rFonts w:ascii="宋体" w:hAnsi="宋体"/>
          <w:color w:val="000000"/>
          <w:sz w:val="24"/>
          <w:szCs w:val="20"/>
          <w:highlight w:val="none"/>
        </w:rPr>
      </w:r>
      <w:r/>
    </w:p>
    <w:p>
      <w:pPr>
        <w:pStyle w:val="1072"/>
        <w:spacing w:before="25" w:after="25" w:line="360" w:lineRule="auto"/>
        <w:rPr>
          <w:rFonts w:ascii="宋体" w:hAnsi="宋体"/>
          <w:b/>
          <w:color w:val="000000"/>
          <w:sz w:val="24"/>
          <w:szCs w:val="20"/>
          <w:highlight w:val="none"/>
        </w:rPr>
      </w:pPr>
      <w:r>
        <w:rPr>
          <w:rFonts w:hint="eastAsia" w:ascii="宋体" w:hAnsi="宋体"/>
          <w:b/>
          <w:color w:val="000000"/>
          <w:sz w:val="24"/>
          <w:highlight w:val="none"/>
        </w:rPr>
        <w:t xml:space="preserve">13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72"/>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rPr>
          <w:rFonts w:ascii="宋体" w:hAnsi="宋体"/>
          <w:color w:val="000000"/>
          <w:sz w:val="36"/>
          <w:szCs w:val="36"/>
          <w:highlight w:val="none"/>
        </w:rPr>
      </w:pPr>
      <w:r>
        <w:rPr>
          <w:rFonts w:ascii="宋体" w:hAnsi="宋体"/>
          <w:color w:val="000000"/>
          <w:sz w:val="36"/>
          <w:szCs w:val="36"/>
          <w:highlight w:val="none"/>
        </w:rPr>
      </w:r>
      <w:r/>
    </w:p>
    <w:p>
      <w:pPr>
        <w:pStyle w:val="1072"/>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72"/>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ind w:right="360"/>
      <w:tabs>
        <w:tab w:val="center" w:pos="4153" w:leader="none"/>
        <w:tab w:val="right" w:pos="8306" w:leader="none"/>
      </w:tabs>
      <w:rPr>
        <w:rStyle w:val="1145"/>
      </w:rPr>
      <w:framePr w:wrap="around" w:vAnchor="text" w:hAnchor="margin" w:y="1"/>
    </w:pPr>
    <w:r>
      <w:rPr>
        <w:rStyle w:val="1145"/>
      </w:rPr>
    </w:r>
    <w:r/>
  </w:p>
  <w:p>
    <w:pPr>
      <w:pStyle w:val="112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center" w:y="1"/>
    </w:pPr>
    <w:r>
      <w:fldChar w:fldCharType="begin"/>
    </w:r>
    <w:r>
      <w:rPr>
        <w:rStyle w:val="1145"/>
      </w:rPr>
      <w:instrText xml:space="preserve">PAGE  </w:instrText>
    </w:r>
    <w:r>
      <w:fldChar w:fldCharType="end"/>
    </w:r>
    <w:r>
      <w:rPr>
        <w:rStyle w:val="1145"/>
      </w:rPr>
    </w:r>
    <w:r/>
  </w:p>
  <w:p>
    <w:pPr>
      <w:pStyle w:val="112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r>
    <w:r/>
  </w:p>
  <w:p>
    <w:pPr>
      <w:pStyle w:val="112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0"/>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rPr>
        <w:rStyle w:val="1145"/>
      </w:rPr>
      <w:framePr w:wrap="around" w:vAnchor="text" w:hAnchor="margin" w:xAlign="right" w:y="1"/>
    </w:pPr>
    <w:r>
      <w:rPr>
        <w:rStyle w:val="1145"/>
      </w:rPr>
      <w:fldChar w:fldCharType="begin"/>
    </w:r>
    <w:r>
      <w:rPr>
        <w:rStyle w:val="1145"/>
      </w:rPr>
      <w:instrText xml:space="preserve">PAGE  </w:instrText>
    </w:r>
    <w:r>
      <w:rPr>
        <w:rStyle w:val="1145"/>
      </w:rPr>
      <w:fldChar w:fldCharType="end"/>
    </w:r>
    <w:r>
      <w:rPr>
        <w:rStyle w:val="1145"/>
      </w:rPr>
    </w:r>
    <w:r/>
  </w:p>
  <w:p>
    <w:pPr>
      <w:pStyle w:val="1120"/>
      <w:ind w:right="360"/>
      <w:tabs>
        <w:tab w:val="center" w:pos="4153" w:leader="none"/>
        <w:tab w:val="right" w:pos="8306" w:leader="none"/>
      </w:tabs>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1">
    <w:multiLevelType w:val="hybridMultilevel"/>
    <w:lvl w:ilvl="0">
      <w:start w:val="1"/>
      <w:numFmt w:val="decimal"/>
      <w:pStyle w:val="1181"/>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2">
    <w:multiLevelType w:val="hybridMultilevel"/>
    <w:lvl w:ilvl="0">
      <w:start w:val="1"/>
      <w:numFmt w:val="lowerLetter"/>
      <w:pStyle w:val="1256"/>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3">
    <w:multiLevelType w:val="hybridMultilevel"/>
    <w:lvl w:ilvl="0">
      <w:start w:val="1"/>
      <w:numFmt w:val="decimal"/>
      <w:pStyle w:val="1226"/>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5"/>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1"/>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2"/>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5"/>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3"/>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7">
    <w:multiLevelType w:val="hybridMultilevel"/>
    <w:lvl w:ilvl="0">
      <w:start w:val="1"/>
      <w:numFmt w:val="decimal"/>
      <w:pStyle w:val="1180"/>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8">
    <w:multiLevelType w:val="hybridMultilevel"/>
    <w:lvl w:ilvl="0">
      <w:start w:val="1"/>
      <w:numFmt w:val="decimal"/>
      <w:pStyle w:val="1281"/>
      <w:isLgl w:val="false"/>
      <w:suff w:val="tab"/>
      <w:lvlText w:val="%1"/>
      <w:lvlJc w:val="left"/>
      <w:pPr>
        <w:pStyle w:val="1072"/>
        <w:ind w:left="680" w:hanging="680"/>
      </w:pPr>
      <w:rPr>
        <w:rFonts w:hint="eastAsia" w:ascii="宋体" w:hAnsi="宋体" w:eastAsia="宋体"/>
      </w:rPr>
    </w:lvl>
    <w:lvl w:ilvl="1">
      <w:start w:val="1"/>
      <w:numFmt w:val="decimal"/>
      <w:pStyle w:val="1282"/>
      <w:isLgl w:val="false"/>
      <w:suff w:val="tab"/>
      <w:lvlText w:val="%1.%2"/>
      <w:lvlJc w:val="left"/>
      <w:pPr>
        <w:pStyle w:val="1072"/>
        <w:ind w:left="851" w:hanging="851"/>
      </w:pPr>
      <w:rPr>
        <w:rFonts w:hint="eastAsia" w:ascii="宋体" w:hAnsi="宋体" w:eastAsia="宋体"/>
        <w:color w:val="000000"/>
      </w:rPr>
    </w:lvl>
    <w:lvl w:ilvl="2">
      <w:start w:val="1"/>
      <w:numFmt w:val="decimal"/>
      <w:pStyle w:val="1283"/>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9">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0">
    <w:multiLevelType w:val="hybridMultilevel"/>
    <w:lvl w:ilvl="0">
      <w:start w:val="4"/>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205" w:hanging="322"/>
      </w:pPr>
      <w:rPr>
        <w:rFonts w:ascii="仿宋" w:hAnsi="仿宋" w:eastAsia="仿宋" w:cs="仿宋"/>
        <w:spacing w:val="-46"/>
        <w:sz w:val="30"/>
        <w:szCs w:val="30"/>
      </w:r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2"/>
  </w:num>
  <w:num w:numId="12">
    <w:abstractNumId w:val="9"/>
  </w:num>
  <w:num w:numId="13">
    <w:abstractNumId w:val="14"/>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4"/>
    <w:qFormat/>
    <w:pPr>
      <w:jc w:val="center"/>
      <w:keepLines/>
      <w:keepNext/>
      <w:spacing w:before="240" w:after="120" w:line="300" w:lineRule="auto"/>
      <w:outlineLvl w:val="0"/>
    </w:pPr>
    <w:rPr>
      <w:rFonts w:ascii="宋体"/>
      <w:b/>
      <w:sz w:val="32"/>
      <w:szCs w:val="20"/>
    </w:rPr>
  </w:style>
  <w:style w:type="paragraph" w:styleId="1074">
    <w:name w:val="标题 2"/>
    <w:basedOn w:val="1072"/>
    <w:next w:val="1086"/>
    <w:link w:val="1085"/>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6"/>
    <w:link w:val="1088"/>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89"/>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0"/>
    <w:qFormat/>
    <w:pPr>
      <w:keepLines/>
      <w:keepNext/>
      <w:spacing w:before="280" w:after="290" w:line="376" w:lineRule="atLeast"/>
      <w:outlineLvl w:val="4"/>
    </w:pPr>
    <w:rPr>
      <w:b/>
      <w:sz w:val="28"/>
      <w:szCs w:val="20"/>
    </w:rPr>
  </w:style>
  <w:style w:type="paragraph" w:styleId="1078">
    <w:name w:val="标题 6"/>
    <w:basedOn w:val="1072"/>
    <w:next w:val="1072"/>
    <w:link w:val="1091"/>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2"/>
    <w:qFormat/>
    <w:pPr>
      <w:keepLines/>
      <w:keepNext/>
      <w:spacing w:before="240" w:after="64" w:line="320" w:lineRule="atLeast"/>
      <w:outlineLvl w:val="6"/>
    </w:pPr>
    <w:rPr>
      <w:b/>
      <w:sz w:val="24"/>
      <w:szCs w:val="20"/>
    </w:rPr>
  </w:style>
  <w:style w:type="paragraph" w:styleId="1080">
    <w:name w:val="标题 8"/>
    <w:basedOn w:val="1072"/>
    <w:next w:val="1072"/>
    <w:link w:val="1093"/>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4"/>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character" w:styleId="1084">
    <w:name w:val="标题 1 字符"/>
    <w:next w:val="1084"/>
    <w:link w:val="1073"/>
    <w:qFormat/>
    <w:rPr>
      <w:rFonts w:ascii="宋体"/>
      <w:b/>
      <w:sz w:val="32"/>
    </w:rPr>
  </w:style>
  <w:style w:type="character" w:styleId="1085">
    <w:name w:val="标题 2 字符"/>
    <w:next w:val="1085"/>
    <w:link w:val="1074"/>
    <w:qFormat/>
    <w:rPr>
      <w:rFonts w:ascii="Arial" w:hAnsi="Arial" w:eastAsia="黑体"/>
      <w:b/>
      <w:sz w:val="30"/>
      <w:lang w:val="en-US" w:eastAsia="zh-CN" w:bidi="ar-SA"/>
    </w:rPr>
  </w:style>
  <w:style w:type="paragraph" w:styleId="1086">
    <w:name w:val="正文缩进"/>
    <w:basedOn w:val="1072"/>
    <w:next w:val="1086"/>
    <w:link w:val="1087"/>
    <w:uiPriority w:val="99"/>
    <w:qFormat/>
    <w:pPr>
      <w:ind w:firstLine="420"/>
      <w:jc w:val="left"/>
    </w:pPr>
    <w:rPr>
      <w:rFonts w:ascii="宋体"/>
      <w:sz w:val="24"/>
    </w:rPr>
  </w:style>
  <w:style w:type="character" w:styleId="1087">
    <w:name w:val="正文缩进 字符1"/>
    <w:next w:val="1087"/>
    <w:link w:val="1086"/>
    <w:qFormat/>
    <w:rPr>
      <w:rFonts w:ascii="宋体" w:eastAsia="宋体"/>
      <w:sz w:val="24"/>
      <w:szCs w:val="24"/>
      <w:lang w:val="en-US" w:eastAsia="zh-CN" w:bidi="ar-SA"/>
    </w:rPr>
  </w:style>
  <w:style w:type="character" w:styleId="1088">
    <w:name w:val="标题 3 字符"/>
    <w:next w:val="1088"/>
    <w:link w:val="1075"/>
    <w:qFormat/>
    <w:rPr>
      <w:rFonts w:ascii="宋体" w:eastAsia="宋体"/>
      <w:b/>
      <w:sz w:val="24"/>
      <w:u w:val="single"/>
      <w:lang w:val="en-US" w:eastAsia="zh-CN" w:bidi="ar-SA"/>
    </w:rPr>
  </w:style>
  <w:style w:type="character" w:styleId="1089">
    <w:name w:val="标题 4 字符"/>
    <w:next w:val="1089"/>
    <w:link w:val="1076"/>
    <w:qFormat/>
    <w:rPr>
      <w:rFonts w:ascii="Arial" w:hAnsi="Arial" w:eastAsia="黑体"/>
      <w:b/>
      <w:sz w:val="28"/>
    </w:rPr>
  </w:style>
  <w:style w:type="character" w:styleId="1090">
    <w:name w:val="标题 5 字符"/>
    <w:next w:val="1090"/>
    <w:link w:val="1077"/>
    <w:qFormat/>
    <w:rPr>
      <w:b/>
      <w:sz w:val="28"/>
    </w:rPr>
  </w:style>
  <w:style w:type="character" w:styleId="1091">
    <w:name w:val="标题 6 字符"/>
    <w:next w:val="1091"/>
    <w:link w:val="1078"/>
    <w:qFormat/>
    <w:rPr>
      <w:rFonts w:ascii="Arial" w:hAnsi="Arial" w:eastAsia="黑体"/>
      <w:b/>
      <w:sz w:val="24"/>
    </w:rPr>
  </w:style>
  <w:style w:type="character" w:styleId="1092">
    <w:name w:val="标题 7 字符"/>
    <w:next w:val="1092"/>
    <w:link w:val="1079"/>
    <w:qFormat/>
    <w:rPr>
      <w:b/>
      <w:sz w:val="24"/>
    </w:rPr>
  </w:style>
  <w:style w:type="character" w:styleId="1093">
    <w:name w:val="标题 8 字符"/>
    <w:next w:val="1093"/>
    <w:link w:val="1080"/>
    <w:qFormat/>
    <w:rPr>
      <w:rFonts w:ascii="Arial" w:hAnsi="Arial" w:eastAsia="黑体"/>
      <w:sz w:val="24"/>
    </w:rPr>
  </w:style>
  <w:style w:type="character" w:styleId="1094">
    <w:name w:val="标题 9 字符"/>
    <w:next w:val="1094"/>
    <w:link w:val="1081"/>
    <w:qFormat/>
    <w:rPr>
      <w:rFonts w:ascii="Arial" w:hAnsi="Arial" w:eastAsia="黑体"/>
      <w:sz w:val="21"/>
    </w:rPr>
  </w:style>
  <w:style w:type="paragraph" w:styleId="1095">
    <w:name w:val="目录 7"/>
    <w:basedOn w:val="1072"/>
    <w:next w:val="1072"/>
    <w:link w:val="1072"/>
    <w:qFormat/>
    <w:pPr>
      <w:ind w:left="2520"/>
    </w:pPr>
  </w:style>
  <w:style w:type="paragraph" w:styleId="1096">
    <w:name w:val="题注"/>
    <w:basedOn w:val="1072"/>
    <w:next w:val="1072"/>
    <w:link w:val="1072"/>
    <w:qFormat/>
    <w:pPr>
      <w:spacing w:line="480" w:lineRule="auto"/>
    </w:pPr>
    <w:rPr>
      <w:rFonts w:ascii="华文中宋" w:hAnsi="华文中宋" w:eastAsia="华文中宋"/>
      <w:sz w:val="36"/>
      <w:szCs w:val="20"/>
    </w:rPr>
  </w:style>
  <w:style w:type="paragraph" w:styleId="1097">
    <w:name w:val="文档结构图"/>
    <w:basedOn w:val="1072"/>
    <w:next w:val="1097"/>
    <w:link w:val="1098"/>
    <w:qFormat/>
    <w:pPr>
      <w:shd w:val="clear" w:color="auto" w:fill="000080"/>
    </w:pPr>
  </w:style>
  <w:style w:type="character" w:styleId="1098">
    <w:name w:val="文档结构图 字符"/>
    <w:next w:val="1098"/>
    <w:link w:val="1097"/>
    <w:qFormat/>
    <w:rPr>
      <w:sz w:val="21"/>
      <w:szCs w:val="24"/>
      <w:shd w:val="clear" w:color="auto" w:fill="000080"/>
    </w:rPr>
  </w:style>
  <w:style w:type="paragraph" w:styleId="1099">
    <w:name w:val="批注文字"/>
    <w:basedOn w:val="1072"/>
    <w:next w:val="1099"/>
    <w:link w:val="1100"/>
    <w:uiPriority w:val="99"/>
    <w:qFormat/>
    <w:pPr>
      <w:jc w:val="left"/>
    </w:pPr>
  </w:style>
  <w:style w:type="character" w:styleId="1100">
    <w:name w:val="批注文字 字符1"/>
    <w:next w:val="1100"/>
    <w:link w:val="1099"/>
    <w:uiPriority w:val="99"/>
    <w:qFormat/>
    <w:rPr>
      <w:sz w:val="21"/>
      <w:szCs w:val="24"/>
    </w:rPr>
  </w:style>
  <w:style w:type="paragraph" w:styleId="1101">
    <w:name w:val="正文文本 3"/>
    <w:basedOn w:val="1072"/>
    <w:next w:val="1101"/>
    <w:link w:val="1102"/>
    <w:qFormat/>
    <w:pPr>
      <w:spacing w:after="120"/>
    </w:pPr>
    <w:rPr>
      <w:sz w:val="16"/>
      <w:szCs w:val="16"/>
    </w:rPr>
  </w:style>
  <w:style w:type="character" w:styleId="1102">
    <w:name w:val="正文文本 3 字符"/>
    <w:next w:val="1102"/>
    <w:link w:val="1101"/>
    <w:qFormat/>
    <w:rPr>
      <w:sz w:val="16"/>
      <w:szCs w:val="16"/>
    </w:rPr>
  </w:style>
  <w:style w:type="paragraph" w:styleId="1103">
    <w:name w:val="正文文本"/>
    <w:basedOn w:val="1072"/>
    <w:next w:val="1103"/>
    <w:link w:val="1104"/>
    <w:qFormat/>
    <w:pPr>
      <w:spacing w:before="120" w:line="22" w:lineRule="atLeast"/>
      <w:tabs>
        <w:tab w:val="left" w:pos="567" w:leader="none"/>
      </w:tabs>
    </w:pPr>
    <w:rPr>
      <w:rFonts w:ascii="宋体" w:hAnsi="宋体"/>
      <w:sz w:val="24"/>
    </w:rPr>
  </w:style>
  <w:style w:type="character" w:styleId="1104">
    <w:name w:val="正文文本 字符1"/>
    <w:next w:val="1104"/>
    <w:link w:val="1103"/>
    <w:qFormat/>
    <w:rPr>
      <w:rFonts w:ascii="宋体" w:hAnsi="宋体"/>
      <w:sz w:val="24"/>
      <w:szCs w:val="24"/>
    </w:rPr>
  </w:style>
  <w:style w:type="paragraph" w:styleId="1105">
    <w:name w:val="正文文本缩进"/>
    <w:basedOn w:val="1072"/>
    <w:next w:val="1105"/>
    <w:link w:val="1106"/>
    <w:qFormat/>
    <w:pPr>
      <w:ind w:firstLine="570"/>
      <w:spacing w:line="360" w:lineRule="auto"/>
    </w:pPr>
    <w:rPr>
      <w:sz w:val="24"/>
    </w:rPr>
  </w:style>
  <w:style w:type="character" w:styleId="1106">
    <w:name w:val="正文文本缩进 字符"/>
    <w:next w:val="1106"/>
    <w:link w:val="1105"/>
    <w:qFormat/>
    <w:rPr>
      <w:rFonts w:eastAsia="宋体"/>
      <w:sz w:val="24"/>
      <w:szCs w:val="24"/>
      <w:lang w:val="en-US" w:eastAsia="zh-CN" w:bidi="ar-SA"/>
    </w:rPr>
  </w:style>
  <w:style w:type="paragraph" w:styleId="1107">
    <w:name w:val="列表 2"/>
    <w:basedOn w:val="1072"/>
    <w:next w:val="1107"/>
    <w:link w:val="1072"/>
    <w:qFormat/>
    <w:pPr>
      <w:ind w:left="100" w:hanging="200"/>
    </w:pPr>
  </w:style>
  <w:style w:type="paragraph" w:styleId="1108">
    <w:name w:val="文本块"/>
    <w:basedOn w:val="1072"/>
    <w:next w:val="1108"/>
    <w:link w:val="1072"/>
    <w:qFormat/>
    <w:pPr>
      <w:ind w:left="480" w:right="-341" w:firstLine="513"/>
      <w:widowControl/>
    </w:pPr>
    <w:rPr>
      <w:sz w:val="24"/>
      <w:szCs w:val="20"/>
    </w:rPr>
  </w:style>
  <w:style w:type="paragraph" w:styleId="1109">
    <w:name w:val="目录 5"/>
    <w:basedOn w:val="1072"/>
    <w:next w:val="1072"/>
    <w:link w:val="1072"/>
    <w:qFormat/>
    <w:pPr>
      <w:ind w:left="1680"/>
    </w:pPr>
  </w:style>
  <w:style w:type="paragraph" w:styleId="1110">
    <w:name w:val="目录 3"/>
    <w:basedOn w:val="1072"/>
    <w:next w:val="1072"/>
    <w:link w:val="1072"/>
    <w:uiPriority w:val="39"/>
    <w:qFormat/>
    <w:pPr>
      <w:ind w:left="840"/>
    </w:pPr>
  </w:style>
  <w:style w:type="paragraph" w:styleId="1111">
    <w:name w:val="纯文本"/>
    <w:basedOn w:val="1072"/>
    <w:next w:val="1111"/>
    <w:link w:val="1112"/>
    <w:uiPriority w:val="99"/>
    <w:qFormat/>
    <w:rPr>
      <w:rFonts w:hint="eastAsia" w:ascii="宋体" w:hAnsi="Courier New"/>
      <w:szCs w:val="20"/>
    </w:rPr>
  </w:style>
  <w:style w:type="character" w:styleId="1112">
    <w:name w:val="纯文本 字符2"/>
    <w:next w:val="1112"/>
    <w:link w:val="1111"/>
    <w:qFormat/>
    <w:rPr>
      <w:rFonts w:hint="eastAsia" w:ascii="宋体" w:hAnsi="Courier New" w:eastAsia="宋体" w:cs="宋体"/>
      <w:sz w:val="21"/>
    </w:rPr>
  </w:style>
  <w:style w:type="paragraph" w:styleId="1113">
    <w:name w:val="目录 8"/>
    <w:basedOn w:val="1072"/>
    <w:next w:val="1072"/>
    <w:link w:val="1072"/>
    <w:qFormat/>
    <w:pPr>
      <w:ind w:left="2940"/>
    </w:pPr>
  </w:style>
  <w:style w:type="paragraph" w:styleId="1114">
    <w:name w:val="日期"/>
    <w:basedOn w:val="1072"/>
    <w:next w:val="1072"/>
    <w:link w:val="1115"/>
    <w:qFormat/>
    <w:pPr>
      <w:ind w:left="100"/>
    </w:pPr>
    <w:rPr>
      <w:rFonts w:ascii="仿宋_GB2312" w:hAnsi="宋体" w:eastAsia="仿宋_GB2312"/>
      <w:color w:val="000000"/>
      <w:sz w:val="24"/>
    </w:rPr>
  </w:style>
  <w:style w:type="character" w:styleId="1115">
    <w:name w:val="日期 字符"/>
    <w:next w:val="1115"/>
    <w:link w:val="1114"/>
    <w:qFormat/>
    <w:rPr>
      <w:rFonts w:ascii="仿宋_GB2312" w:hAnsi="宋体" w:eastAsia="仿宋_GB2312"/>
      <w:color w:val="000000"/>
      <w:sz w:val="24"/>
      <w:szCs w:val="24"/>
    </w:rPr>
  </w:style>
  <w:style w:type="paragraph" w:styleId="1116">
    <w:name w:val="正文文本缩进 2"/>
    <w:basedOn w:val="1072"/>
    <w:next w:val="1116"/>
    <w:link w:val="1117"/>
    <w:qFormat/>
    <w:pPr>
      <w:ind w:firstLine="480"/>
    </w:pPr>
    <w:rPr>
      <w:rFonts w:ascii="仿宋_GB2312" w:eastAsia="仿宋_GB2312"/>
      <w:sz w:val="24"/>
    </w:rPr>
  </w:style>
  <w:style w:type="character" w:styleId="1117">
    <w:name w:val="正文文本缩进 2 字符"/>
    <w:next w:val="1117"/>
    <w:link w:val="1116"/>
    <w:qFormat/>
    <w:rPr>
      <w:rFonts w:ascii="仿宋_GB2312" w:eastAsia="仿宋_GB2312"/>
      <w:sz w:val="24"/>
      <w:szCs w:val="24"/>
    </w:rPr>
  </w:style>
  <w:style w:type="paragraph" w:styleId="1118">
    <w:name w:val="批注框文本"/>
    <w:basedOn w:val="1072"/>
    <w:next w:val="1118"/>
    <w:link w:val="1119"/>
    <w:qFormat/>
    <w:rPr>
      <w:sz w:val="18"/>
      <w:szCs w:val="18"/>
    </w:rPr>
  </w:style>
  <w:style w:type="character" w:styleId="1119">
    <w:name w:val="批注框文本 字符"/>
    <w:next w:val="1119"/>
    <w:link w:val="1118"/>
    <w:qFormat/>
    <w:rPr>
      <w:sz w:val="18"/>
      <w:szCs w:val="18"/>
    </w:rPr>
  </w:style>
  <w:style w:type="paragraph" w:styleId="1120">
    <w:name w:val="页脚"/>
    <w:basedOn w:val="1072"/>
    <w:next w:val="1120"/>
    <w:link w:val="1121"/>
    <w:uiPriority w:val="99"/>
    <w:qFormat/>
    <w:pPr>
      <w:jc w:val="left"/>
      <w:tabs>
        <w:tab w:val="center" w:pos="4153" w:leader="none"/>
        <w:tab w:val="right" w:pos="8306" w:leader="none"/>
      </w:tabs>
    </w:pPr>
    <w:rPr>
      <w:rFonts w:ascii="宋体"/>
      <w:sz w:val="18"/>
      <w:szCs w:val="20"/>
    </w:rPr>
  </w:style>
  <w:style w:type="character" w:styleId="1121">
    <w:name w:val="页脚 字符"/>
    <w:next w:val="1121"/>
    <w:link w:val="1120"/>
    <w:uiPriority w:val="99"/>
    <w:qFormat/>
    <w:rPr>
      <w:rFonts w:ascii="宋体" w:eastAsia="宋体"/>
      <w:sz w:val="18"/>
      <w:lang w:val="en-US" w:eastAsia="zh-CN" w:bidi="ar-SA"/>
    </w:rPr>
  </w:style>
  <w:style w:type="paragraph" w:styleId="1122">
    <w:name w:val="页眉"/>
    <w:basedOn w:val="1072"/>
    <w:next w:val="1122"/>
    <w:link w:val="1123"/>
    <w:qFormat/>
    <w:pPr>
      <w:jc w:val="center"/>
      <w:tabs>
        <w:tab w:val="center" w:pos="4153" w:leader="none"/>
        <w:tab w:val="right" w:pos="8306" w:leader="none"/>
      </w:tabs>
      <w:pBdr>
        <w:bottom w:val="single" w:color="000000" w:sz="6" w:space="1"/>
      </w:pBdr>
    </w:pPr>
    <w:rPr>
      <w:sz w:val="18"/>
      <w:szCs w:val="18"/>
    </w:rPr>
  </w:style>
  <w:style w:type="character" w:styleId="1123">
    <w:name w:val="页眉 字符"/>
    <w:next w:val="1123"/>
    <w:link w:val="1122"/>
    <w:qFormat/>
    <w:rPr>
      <w:rFonts w:eastAsia="宋体"/>
      <w:sz w:val="18"/>
      <w:szCs w:val="18"/>
      <w:lang w:val="en-US" w:eastAsia="zh-CN" w:bidi="ar-SA"/>
    </w:rPr>
  </w:style>
  <w:style w:type="paragraph" w:styleId="1124">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5">
    <w:name w:val="目录 4"/>
    <w:basedOn w:val="1072"/>
    <w:next w:val="1072"/>
    <w:link w:val="1072"/>
    <w:qFormat/>
    <w:pPr>
      <w:ind w:left="1260"/>
    </w:pPr>
  </w:style>
  <w:style w:type="paragraph" w:styleId="1126">
    <w:name w:val="目录 6"/>
    <w:basedOn w:val="1072"/>
    <w:next w:val="1072"/>
    <w:link w:val="1072"/>
    <w:qFormat/>
    <w:pPr>
      <w:ind w:left="2100"/>
    </w:pPr>
  </w:style>
  <w:style w:type="paragraph" w:styleId="1127">
    <w:name w:val="正文文本缩进 3"/>
    <w:basedOn w:val="1072"/>
    <w:next w:val="1127"/>
    <w:link w:val="1128"/>
    <w:qFormat/>
    <w:pPr>
      <w:ind w:left="720" w:firstLine="480"/>
      <w:jc w:val="left"/>
      <w:spacing w:before="120" w:line="22" w:lineRule="atLeast"/>
    </w:pPr>
    <w:rPr>
      <w:rFonts w:ascii="宋体"/>
      <w:sz w:val="24"/>
      <w:szCs w:val="20"/>
    </w:rPr>
  </w:style>
  <w:style w:type="character" w:styleId="1128">
    <w:name w:val="正文文本缩进 3 字符"/>
    <w:next w:val="1128"/>
    <w:link w:val="1127"/>
    <w:qFormat/>
    <w:rPr>
      <w:rFonts w:ascii="宋体"/>
      <w:sz w:val="24"/>
    </w:rPr>
  </w:style>
  <w:style w:type="paragraph" w:styleId="1129">
    <w:name w:val="目录 2"/>
    <w:basedOn w:val="1072"/>
    <w:next w:val="1072"/>
    <w:link w:val="1072"/>
    <w:uiPriority w:val="39"/>
    <w:qFormat/>
    <w:pPr>
      <w:ind w:left="420"/>
      <w:spacing w:line="312" w:lineRule="auto"/>
      <w:tabs>
        <w:tab w:val="right" w:pos="8937" w:leader="dot"/>
      </w:tabs>
    </w:pPr>
  </w:style>
  <w:style w:type="paragraph" w:styleId="1130">
    <w:name w:val="目录 9"/>
    <w:basedOn w:val="1072"/>
    <w:next w:val="1072"/>
    <w:link w:val="1072"/>
    <w:qFormat/>
    <w:pPr>
      <w:ind w:left="3360"/>
    </w:pPr>
  </w:style>
  <w:style w:type="paragraph" w:styleId="1131">
    <w:name w:val="HTML 预设格式"/>
    <w:basedOn w:val="1072"/>
    <w:next w:val="1131"/>
    <w:link w:val="113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2">
    <w:name w:val="HTML 预设格式 字符"/>
    <w:next w:val="1132"/>
    <w:link w:val="1131"/>
    <w:qFormat/>
    <w:rPr>
      <w:rFonts w:ascii="宋体" w:hAnsi="宋体" w:cs="宋体"/>
      <w:sz w:val="24"/>
      <w:szCs w:val="24"/>
    </w:rPr>
  </w:style>
  <w:style w:type="paragraph" w:styleId="1133">
    <w:name w:val="普通(网站)"/>
    <w:basedOn w:val="1072"/>
    <w:next w:val="1133"/>
    <w:link w:val="1072"/>
    <w:uiPriority w:val="99"/>
    <w:unhideWhenUsed/>
    <w:qFormat/>
    <w:pPr>
      <w:jc w:val="left"/>
      <w:spacing w:before="100" w:beforeAutospacing="1" w:after="100" w:afterAutospacing="1"/>
      <w:widowControl/>
    </w:pPr>
    <w:rPr>
      <w:rFonts w:ascii="宋体" w:hAnsi="宋体" w:cs="宋体"/>
      <w:sz w:val="24"/>
    </w:rPr>
  </w:style>
  <w:style w:type="paragraph" w:styleId="1134">
    <w:name w:val="索引 1"/>
    <w:basedOn w:val="1072"/>
    <w:next w:val="1072"/>
    <w:link w:val="1072"/>
    <w:qFormat/>
    <w:rPr>
      <w:szCs w:val="20"/>
    </w:rPr>
  </w:style>
  <w:style w:type="paragraph" w:styleId="1135">
    <w:name w:val="标题"/>
    <w:basedOn w:val="1072"/>
    <w:next w:val="1135"/>
    <w:link w:val="1136"/>
    <w:qFormat/>
    <w:pPr>
      <w:jc w:val="center"/>
      <w:outlineLvl w:val="0"/>
    </w:pPr>
    <w:rPr>
      <w:b/>
      <w:sz w:val="32"/>
      <w:szCs w:val="20"/>
    </w:rPr>
  </w:style>
  <w:style w:type="character" w:styleId="1136">
    <w:name w:val="标题 字符"/>
    <w:next w:val="1136"/>
    <w:link w:val="1135"/>
    <w:qFormat/>
    <w:rPr>
      <w:b/>
      <w:sz w:val="32"/>
    </w:rPr>
  </w:style>
  <w:style w:type="paragraph" w:styleId="1137">
    <w:name w:val="批注主题"/>
    <w:basedOn w:val="1099"/>
    <w:next w:val="1099"/>
    <w:link w:val="1138"/>
    <w:qFormat/>
    <w:rPr>
      <w:b/>
      <w:bCs/>
    </w:rPr>
  </w:style>
  <w:style w:type="character" w:styleId="1138">
    <w:name w:val="批注主题 字符"/>
    <w:next w:val="1138"/>
    <w:link w:val="1137"/>
    <w:qFormat/>
    <w:rPr>
      <w:rFonts w:ascii="Times New Roman" w:hAnsi="Times New Roman" w:eastAsia="宋体" w:cs="Times New Roman"/>
      <w:b/>
      <w:bCs/>
      <w:sz w:val="21"/>
      <w:szCs w:val="24"/>
      <w:lang w:val="en-US" w:eastAsia="zh-CN" w:bidi="ar-SA"/>
    </w:rPr>
  </w:style>
  <w:style w:type="paragraph" w:styleId="1139">
    <w:name w:val="正文首行缩进"/>
    <w:next w:val="1139"/>
    <w:link w:val="1072"/>
    <w:qFormat/>
    <w:pPr>
      <w:ind w:firstLine="420"/>
      <w:widowControl w:val="off"/>
    </w:pPr>
    <w:rPr>
      <w:rFonts w:ascii="宋体" w:hAnsi="宋体" w:cs="宋体"/>
      <w:sz w:val="24"/>
      <w:szCs w:val="24"/>
      <w:lang w:val="en-US" w:eastAsia="en-US" w:bidi="ar-SA"/>
    </w:rPr>
  </w:style>
  <w:style w:type="paragraph" w:styleId="1140">
    <w:name w:val="正文首行缩进 2"/>
    <w:basedOn w:val="1105"/>
    <w:next w:val="1140"/>
    <w:link w:val="1141"/>
    <w:qFormat/>
    <w:pPr>
      <w:ind w:left="420" w:firstLine="420"/>
      <w:spacing w:after="120" w:line="480" w:lineRule="exact"/>
    </w:pPr>
    <w:rPr>
      <w:szCs w:val="20"/>
    </w:rPr>
  </w:style>
  <w:style w:type="character" w:styleId="1141">
    <w:name w:val="正文首行缩进 2 字符"/>
    <w:next w:val="1141"/>
    <w:link w:val="1140"/>
    <w:qFormat/>
    <w:rPr>
      <w:rFonts w:eastAsia="宋体"/>
      <w:sz w:val="24"/>
      <w:szCs w:val="24"/>
      <w:lang w:val="en-US" w:eastAsia="zh-CN" w:bidi="ar-SA"/>
    </w:rPr>
  </w:style>
  <w:style w:type="table" w:styleId="1142">
    <w:name w:val="网格型"/>
    <w:basedOn w:val="1083"/>
    <w:next w:val="1142"/>
    <w:link w:val="1072"/>
    <w:uiPriority w:val="39"/>
    <w:qFormat/>
    <w:tblPr/>
  </w:style>
  <w:style w:type="table" w:styleId="1143">
    <w:name w:val="中等深浅网格 1 - 强调文字颜色 2"/>
    <w:basedOn w:val="1083"/>
    <w:next w:val="1143"/>
    <w:link w:val="1072"/>
    <w:qFormat/>
    <w:rPr>
      <w:sz w:val="21"/>
      <w:szCs w:val="24"/>
    </w:rPr>
    <w:tblPr/>
  </w:style>
  <w:style w:type="character" w:styleId="1144">
    <w:name w:val="要点"/>
    <w:next w:val="1144"/>
    <w:link w:val="1072"/>
    <w:qFormat/>
    <w:rPr>
      <w:b/>
      <w:bCs/>
    </w:rPr>
  </w:style>
  <w:style w:type="character" w:styleId="1145">
    <w:name w:val="页码"/>
    <w:next w:val="1145"/>
    <w:link w:val="1072"/>
    <w:qFormat/>
  </w:style>
  <w:style w:type="character" w:styleId="1146">
    <w:name w:val="已访问的超链接"/>
    <w:next w:val="1146"/>
    <w:link w:val="1072"/>
    <w:qFormat/>
    <w:rPr>
      <w:color w:val="333333"/>
      <w:u w:val="none"/>
    </w:rPr>
  </w:style>
  <w:style w:type="character" w:styleId="1147">
    <w:name w:val="强调"/>
    <w:next w:val="1147"/>
    <w:link w:val="1072"/>
    <w:qFormat/>
    <w:rPr>
      <w:color w:val="cc0033"/>
    </w:rPr>
  </w:style>
  <w:style w:type="character" w:styleId="1148">
    <w:name w:val="超链接"/>
    <w:next w:val="1148"/>
    <w:link w:val="1072"/>
    <w:uiPriority w:val="99"/>
    <w:qFormat/>
    <w:rPr>
      <w:color w:val="333333"/>
      <w:u w:val="none"/>
    </w:rPr>
  </w:style>
  <w:style w:type="character" w:styleId="1149">
    <w:name w:val="批注引用"/>
    <w:next w:val="1149"/>
    <w:link w:val="1072"/>
    <w:uiPriority w:val="99"/>
    <w:qFormat/>
    <w:rPr>
      <w:sz w:val="21"/>
      <w:szCs w:val="21"/>
    </w:rPr>
  </w:style>
  <w:style w:type="character" w:styleId="1150">
    <w:name w:val="HTML 引文"/>
    <w:next w:val="1150"/>
    <w:link w:val="1072"/>
    <w:qFormat/>
    <w:rPr>
      <w:i/>
      <w:iCs/>
    </w:rPr>
  </w:style>
  <w:style w:type="character" w:styleId="1151">
    <w:name w:val="批注文字 字符"/>
    <w:next w:val="1151"/>
    <w:link w:val="1072"/>
    <w:uiPriority w:val="99"/>
    <w:qFormat/>
    <w:rPr>
      <w:rFonts w:ascii="Times New Roman" w:hAnsi="Times New Roman" w:eastAsia="宋体" w:cs="Times New Roman"/>
      <w:sz w:val="24"/>
      <w:lang w:val="en-US" w:eastAsia="zh-CN" w:bidi="ar-SA"/>
    </w:rPr>
  </w:style>
  <w:style w:type="character" w:styleId="1152">
    <w:name w:val="c21"/>
    <w:next w:val="1152"/>
    <w:link w:val="1072"/>
    <w:qFormat/>
    <w:rPr>
      <w:rFonts w:ascii="ˎ̥" w:hAnsi="ˎ̥"/>
      <w:color w:val="000000"/>
      <w:sz w:val="20"/>
      <w:szCs w:val="20"/>
      <w:u w:val="none"/>
    </w:rPr>
  </w:style>
  <w:style w:type="character" w:styleId="1153">
    <w:name w:val="title4"/>
    <w:next w:val="1153"/>
    <w:link w:val="1072"/>
    <w:qFormat/>
    <w:rPr>
      <w:b/>
      <w:bCs/>
      <w:color w:val="1d87b3"/>
      <w:sz w:val="15"/>
      <w:szCs w:val="15"/>
    </w:rPr>
  </w:style>
  <w:style w:type="character" w:styleId="1154">
    <w:name w:val="标题 2 Char Char"/>
    <w:next w:val="1154"/>
    <w:link w:val="1072"/>
    <w:qFormat/>
    <w:rPr>
      <w:rFonts w:ascii="Arial" w:hAnsi="Arial" w:eastAsia="黑体"/>
      <w:b/>
      <w:bCs/>
      <w:sz w:val="32"/>
      <w:szCs w:val="32"/>
      <w:lang w:val="en-US" w:eastAsia="zh-CN" w:bidi="ar-SA"/>
    </w:rPr>
  </w:style>
  <w:style w:type="character" w:styleId="1155">
    <w:name w:val="black1"/>
    <w:next w:val="1155"/>
    <w:link w:val="1072"/>
    <w:qFormat/>
    <w:rPr>
      <w:color w:val="000000"/>
    </w:rPr>
  </w:style>
  <w:style w:type="character" w:styleId="1156">
    <w:name w:val="street-address"/>
    <w:next w:val="1156"/>
    <w:link w:val="1072"/>
    <w:qFormat/>
  </w:style>
  <w:style w:type="character" w:styleId="1157">
    <w:name w:val="locality"/>
    <w:next w:val="1157"/>
    <w:link w:val="1072"/>
    <w:qFormat/>
  </w:style>
  <w:style w:type="character" w:styleId="1158">
    <w:name w:val="正文文本缩进 Char1"/>
    <w:next w:val="1158"/>
    <w:link w:val="1159"/>
    <w:qFormat/>
    <w:rPr>
      <w:rFonts w:ascii="宋体" w:hAnsi="宋体" w:eastAsia="宋体"/>
      <w:sz w:val="24"/>
      <w:szCs w:val="24"/>
      <w:lang w:bidi="ar-SA"/>
    </w:rPr>
  </w:style>
  <w:style w:type="paragraph" w:styleId="1159">
    <w:name w:val="正文文本缩进1"/>
    <w:basedOn w:val="1072"/>
    <w:next w:val="1159"/>
    <w:link w:val="1158"/>
    <w:qFormat/>
    <w:pPr>
      <w:ind w:firstLine="480"/>
      <w:spacing w:line="480" w:lineRule="exact"/>
    </w:pPr>
    <w:rPr>
      <w:rFonts w:ascii="宋体" w:hAnsi="宋体"/>
      <w:sz w:val="24"/>
    </w:rPr>
  </w:style>
  <w:style w:type="character" w:styleId="1160">
    <w:name w:val="Char Char11"/>
    <w:next w:val="1160"/>
    <w:link w:val="1072"/>
    <w:qFormat/>
    <w:rPr>
      <w:rFonts w:ascii="宋体" w:eastAsia="宋体"/>
      <w:b/>
      <w:sz w:val="24"/>
      <w:u w:val="single"/>
      <w:lang w:val="en-US" w:eastAsia="zh-CN" w:bidi="ar-SA"/>
    </w:rPr>
  </w:style>
  <w:style w:type="character" w:styleId="1161">
    <w:name w:val="txt"/>
    <w:next w:val="1161"/>
    <w:link w:val="1072"/>
    <w:qFormat/>
  </w:style>
  <w:style w:type="character" w:styleId="1162">
    <w:name w:val="正文缩进 Char Char"/>
    <w:next w:val="1162"/>
    <w:link w:val="1163"/>
    <w:qFormat/>
    <w:rPr>
      <w:rFonts w:ascii="宋体" w:eastAsia="宋体"/>
      <w:color w:val="000000"/>
      <w:sz w:val="28"/>
      <w:lang w:bidi="ar-SA"/>
    </w:rPr>
  </w:style>
  <w:style w:type="paragraph" w:styleId="1163">
    <w:name w:val="正文缩进1"/>
    <w:basedOn w:val="1072"/>
    <w:next w:val="1163"/>
    <w:link w:val="1162"/>
    <w:qFormat/>
    <w:pPr>
      <w:ind w:firstLine="567"/>
      <w:spacing w:line="480" w:lineRule="exact"/>
      <w:widowControl/>
    </w:pPr>
    <w:rPr>
      <w:rFonts w:ascii="宋体"/>
      <w:color w:val="000000"/>
      <w:sz w:val="28"/>
      <w:szCs w:val="20"/>
    </w:rPr>
  </w:style>
  <w:style w:type="character" w:styleId="1164">
    <w:name w:val="普通文字1 Char1"/>
    <w:next w:val="1164"/>
    <w:link w:val="1072"/>
    <w:qFormat/>
    <w:rPr>
      <w:rFonts w:ascii="宋体" w:hAnsi="Courier New" w:eastAsia="宋体"/>
      <w:sz w:val="21"/>
      <w:lang w:val="en-US" w:eastAsia="zh-CN" w:bidi="ar-SA"/>
    </w:rPr>
  </w:style>
  <w:style w:type="character" w:styleId="1165">
    <w:name w:val="chanpin1"/>
    <w:next w:val="1165"/>
    <w:link w:val="1072"/>
    <w:qFormat/>
    <w:rPr>
      <w:rFonts w:ascii="ˎ̥" w:hAnsi="ˎ̥"/>
      <w:color w:val="000000"/>
      <w:sz w:val="20"/>
      <w:szCs w:val="20"/>
      <w:u w:val="none"/>
    </w:rPr>
  </w:style>
  <w:style w:type="character" w:styleId="1166">
    <w:name w:val="列出段落 字符"/>
    <w:next w:val="1166"/>
    <w:link w:val="1167"/>
    <w:uiPriority w:val="34"/>
    <w:qFormat/>
    <w:rPr>
      <w:rFonts w:ascii="Calibri" w:hAnsi="Calibri" w:eastAsia="宋体"/>
      <w:sz w:val="21"/>
      <w:szCs w:val="22"/>
      <w:lang w:val="en-US" w:eastAsia="zh-CN" w:bidi="ar-SA"/>
    </w:rPr>
  </w:style>
  <w:style w:type="paragraph" w:styleId="1167">
    <w:name w:val="列出段落"/>
    <w:basedOn w:val="1072"/>
    <w:next w:val="1167"/>
    <w:link w:val="1166"/>
    <w:uiPriority w:val="34"/>
    <w:qFormat/>
    <w:pPr>
      <w:ind w:firstLine="420"/>
    </w:pPr>
    <w:rPr>
      <w:rFonts w:ascii="Calibri" w:hAnsi="Calibri"/>
      <w:szCs w:val="22"/>
    </w:rPr>
  </w:style>
  <w:style w:type="character" w:styleId="1168">
    <w:name w:val="标题 3 Char Char"/>
    <w:next w:val="1168"/>
    <w:link w:val="1072"/>
    <w:qFormat/>
    <w:rPr>
      <w:rFonts w:eastAsia="宋体"/>
      <w:b/>
      <w:bCs/>
      <w:sz w:val="32"/>
      <w:szCs w:val="32"/>
      <w:lang w:val="en-US" w:eastAsia="zh-CN" w:bidi="ar-SA"/>
    </w:rPr>
  </w:style>
  <w:style w:type="character" w:styleId="1169">
    <w:name w:val="段1 Char"/>
    <w:next w:val="1169"/>
    <w:link w:val="1072"/>
    <w:qFormat/>
    <w:rPr>
      <w:rFonts w:ascii="宋体" w:eastAsia="宋体"/>
      <w:sz w:val="24"/>
      <w:lang w:val="en-US" w:eastAsia="zh-CN" w:bidi="ar-SA"/>
    </w:rPr>
  </w:style>
  <w:style w:type="character" w:styleId="1170">
    <w:name w:val="chanpin拷贝"/>
    <w:next w:val="1170"/>
    <w:link w:val="1072"/>
    <w:qFormat/>
  </w:style>
  <w:style w:type="character" w:styleId="1171">
    <w:name w:val="纯文本 Char1"/>
    <w:next w:val="1171"/>
    <w:link w:val="1072"/>
    <w:uiPriority w:val="99"/>
    <w:qFormat/>
    <w:rPr>
      <w:rFonts w:ascii="宋体" w:hAnsi="Courier New" w:eastAsia="宋体"/>
      <w:sz w:val="21"/>
      <w:lang w:val="en-US" w:eastAsia="zh-CN" w:bidi="ar-SA"/>
    </w:rPr>
  </w:style>
  <w:style w:type="character" w:styleId="1172">
    <w:name w:val="apple-style-span"/>
    <w:next w:val="1172"/>
    <w:link w:val="1072"/>
    <w:qFormat/>
    <w:rPr>
      <w:rFonts w:cs="Times New Roman"/>
    </w:rPr>
  </w:style>
  <w:style w:type="paragraph" w:styleId="1173">
    <w:name w:val="二级条标题"/>
    <w:basedOn w:val="1174"/>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4">
    <w:name w:val="一级条标题"/>
    <w:basedOn w:val="1175"/>
    <w:next w:val="1072"/>
    <w:link w:val="1072"/>
    <w:qFormat/>
    <w:pPr>
      <w:numPr>
        <w:ilvl w:val="1"/>
      </w:numPr>
      <w:ind w:left="0" w:hanging="840"/>
      <w:tabs>
        <w:tab w:val="left" w:pos="360" w:leader="none"/>
        <w:tab w:val="left" w:pos="840" w:leader="none"/>
      </w:tabs>
      <w:outlineLvl w:val="1"/>
    </w:pPr>
  </w:style>
  <w:style w:type="paragraph" w:styleId="1175">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6">
    <w:name w:val="font7"/>
    <w:basedOn w:val="1072"/>
    <w:next w:val="1176"/>
    <w:link w:val="1072"/>
    <w:qFormat/>
    <w:pPr>
      <w:jc w:val="left"/>
      <w:spacing w:before="100" w:beforeAutospacing="1" w:after="100" w:afterAutospacing="1"/>
      <w:widowControl/>
    </w:pPr>
    <w:rPr>
      <w:rFonts w:eastAsia="Arial Unicode MS"/>
      <w:b/>
      <w:bCs/>
      <w:color w:val="000000"/>
      <w:sz w:val="20"/>
      <w:szCs w:val="20"/>
    </w:rPr>
  </w:style>
  <w:style w:type="paragraph" w:styleId="1177">
    <w:name w:val="字元 字元"/>
    <w:basedOn w:val="1072"/>
    <w:next w:val="1177"/>
    <w:link w:val="1072"/>
    <w:qFormat/>
    <w:rPr>
      <w:rFonts w:ascii="Tahoma" w:hAnsi="Tahoma"/>
      <w:sz w:val="24"/>
      <w:szCs w:val="20"/>
    </w:rPr>
  </w:style>
  <w:style w:type="paragraph" w:styleId="1178">
    <w:name w:val="Char3 Char Char Char"/>
    <w:basedOn w:val="1072"/>
    <w:next w:val="1178"/>
    <w:link w:val="1072"/>
    <w:qFormat/>
    <w:rPr>
      <w:rFonts w:ascii="Tahoma" w:hAnsi="Tahoma"/>
      <w:sz w:val="24"/>
      <w:szCs w:val="20"/>
    </w:rPr>
  </w:style>
  <w:style w:type="paragraph" w:styleId="1179">
    <w:name w:val="font6"/>
    <w:basedOn w:val="1072"/>
    <w:next w:val="1179"/>
    <w:link w:val="1072"/>
    <w:qFormat/>
    <w:pPr>
      <w:jc w:val="left"/>
      <w:spacing w:before="100" w:beforeAutospacing="1" w:after="100" w:afterAutospacing="1"/>
      <w:widowControl/>
    </w:pPr>
    <w:rPr>
      <w:rFonts w:ascii="宋体" w:hAnsi="宋体" w:cs="宋体"/>
      <w:sz w:val="20"/>
      <w:szCs w:val="20"/>
    </w:rPr>
  </w:style>
  <w:style w:type="paragraph" w:styleId="1180">
    <w:name w:val="项目编号2"/>
    <w:basedOn w:val="1181"/>
    <w:next w:val="1180"/>
    <w:link w:val="1072"/>
    <w:qFormat/>
    <w:pPr>
      <w:numPr>
        <w:numId w:val="3"/>
      </w:numPr>
    </w:pPr>
  </w:style>
  <w:style w:type="paragraph" w:styleId="1181">
    <w:name w:val="项目编号1"/>
    <w:basedOn w:val="1072"/>
    <w:next w:val="1181"/>
    <w:link w:val="1072"/>
    <w:qFormat/>
    <w:pPr>
      <w:numPr>
        <w:ilvl w:val="0"/>
        <w:numId w:val="2"/>
      </w:numPr>
      <w:spacing w:before="100" w:beforeAutospacing="1" w:after="100" w:afterAutospacing="1" w:line="360" w:lineRule="auto"/>
    </w:pPr>
    <w:rPr>
      <w:sz w:val="24"/>
    </w:rPr>
  </w:style>
  <w:style w:type="paragraph" w:styleId="1182">
    <w:name w:val="图中文字"/>
    <w:basedOn w:val="1072"/>
    <w:next w:val="1182"/>
    <w:link w:val="1072"/>
    <w:qFormat/>
    <w:pPr>
      <w:jc w:val="center"/>
      <w:spacing w:line="0" w:lineRule="atLeast"/>
    </w:pPr>
    <w:rPr>
      <w:sz w:val="24"/>
      <w:szCs w:val="20"/>
    </w:rPr>
  </w:style>
  <w:style w:type="paragraph" w:styleId="1183">
    <w:name w:val="xl46"/>
    <w:basedOn w:val="1072"/>
    <w:next w:val="1183"/>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4">
    <w:name w:val="xl25"/>
    <w:basedOn w:val="1072"/>
    <w:next w:val="11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5">
    <w:name w:val="Char2"/>
    <w:basedOn w:val="1072"/>
    <w:next w:val="1185"/>
    <w:link w:val="1072"/>
    <w:qFormat/>
    <w:rPr>
      <w:rFonts w:ascii="Tahoma" w:hAnsi="Tahoma"/>
      <w:sz w:val="24"/>
      <w:szCs w:val="20"/>
    </w:rPr>
  </w:style>
  <w:style w:type="paragraph" w:styleId="1186">
    <w:name w:val="xl35"/>
    <w:basedOn w:val="1072"/>
    <w:next w:val="1186"/>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7">
    <w:name w:val="xl40"/>
    <w:basedOn w:val="1072"/>
    <w:next w:val="118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name w:val="xl52"/>
    <w:basedOn w:val="1072"/>
    <w:next w:val="118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9">
    <w:name w:val="xl43"/>
    <w:basedOn w:val="1072"/>
    <w:next w:val="1189"/>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0">
    <w:name w:val="background1"/>
    <w:basedOn w:val="1072"/>
    <w:next w:val="1190"/>
    <w:link w:val="1072"/>
    <w:qFormat/>
    <w:pPr>
      <w:jc w:val="left"/>
      <w:spacing w:before="100" w:beforeAutospacing="1" w:after="100" w:afterAutospacing="1"/>
      <w:widowControl/>
    </w:pPr>
    <w:rPr>
      <w:rFonts w:ascii="宋体" w:hAnsi="宋体" w:cs="宋体"/>
      <w:sz w:val="24"/>
    </w:rPr>
  </w:style>
  <w:style w:type="paragraph" w:styleId="1191">
    <w:name w:val="Char Char Char Char Char Char Char"/>
    <w:basedOn w:val="1072"/>
    <w:next w:val="1191"/>
    <w:link w:val="1072"/>
    <w:qFormat/>
    <w:pPr>
      <w:ind w:firstLine="200"/>
      <w:spacing w:line="360" w:lineRule="auto"/>
    </w:pPr>
    <w:rPr>
      <w:rFonts w:eastAsia="仿宋_GB2312"/>
      <w:sz w:val="24"/>
    </w:rPr>
  </w:style>
  <w:style w:type="paragraph" w:styleId="1192">
    <w:name w:val="xl38"/>
    <w:basedOn w:val="1072"/>
    <w:next w:val="119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3">
    <w:name w:val="xl36"/>
    <w:basedOn w:val="1072"/>
    <w:next w:val="1193"/>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正文 + 宋体"/>
    <w:basedOn w:val="1072"/>
    <w:next w:val="1194"/>
    <w:link w:val="1072"/>
    <w:qFormat/>
    <w:pPr>
      <w:ind w:left="360" w:hanging="360"/>
      <w:jc w:val="left"/>
      <w:widowControl/>
    </w:pPr>
    <w:rPr>
      <w:rFonts w:ascii="宋体" w:hAnsi="宋体" w:cs="宋体"/>
      <w:b/>
      <w:bCs/>
      <w:color w:val="000000"/>
      <w:sz w:val="18"/>
      <w:szCs w:val="18"/>
    </w:rPr>
  </w:style>
  <w:style w:type="paragraph" w:styleId="1195">
    <w:name w:val="正文列项_数字"/>
    <w:basedOn w:val="1072"/>
    <w:next w:val="1195"/>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6">
    <w:name w:val="xl39"/>
    <w:basedOn w:val="1072"/>
    <w:next w:val="119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xl37"/>
    <w:basedOn w:val="1072"/>
    <w:next w:val="119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name w:val="xl32"/>
    <w:basedOn w:val="1072"/>
    <w:next w:val="119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name w:val="font8"/>
    <w:basedOn w:val="1072"/>
    <w:next w:val="1199"/>
    <w:link w:val="1072"/>
    <w:qFormat/>
    <w:pPr>
      <w:jc w:val="left"/>
      <w:spacing w:before="100" w:beforeAutospacing="1" w:after="100" w:afterAutospacing="1"/>
      <w:widowControl/>
    </w:pPr>
    <w:rPr>
      <w:sz w:val="36"/>
      <w:szCs w:val="36"/>
    </w:rPr>
  </w:style>
  <w:style w:type="paragraph" w:styleId="1200">
    <w:name w:val="Char"/>
    <w:basedOn w:val="1072"/>
    <w:next w:val="1200"/>
    <w:link w:val="1072"/>
    <w:qFormat/>
    <w:pPr>
      <w:tabs>
        <w:tab w:val="left" w:pos="360" w:leader="none"/>
      </w:tabs>
    </w:pPr>
    <w:rPr>
      <w:sz w:val="24"/>
    </w:rPr>
  </w:style>
  <w:style w:type="paragraph" w:styleId="1201">
    <w:name w:val="Char Char Char Char Char Char Char Char Char Char Char Char Char Char Char Char"/>
    <w:basedOn w:val="1072"/>
    <w:next w:val="1201"/>
    <w:link w:val="1072"/>
    <w:qFormat/>
    <w:pPr>
      <w:jc w:val="center"/>
      <w:spacing w:after="160" w:line="240" w:lineRule="exact"/>
      <w:widowControl/>
    </w:pPr>
    <w:rPr>
      <w:rFonts w:ascii="宋体" w:hAnsi="宋体"/>
      <w:b/>
      <w:sz w:val="30"/>
      <w:szCs w:val="30"/>
      <w:lang w:eastAsia="en-US"/>
    </w:rPr>
  </w:style>
  <w:style w:type="paragraph" w:styleId="1202">
    <w:name w:val="xl45"/>
    <w:basedOn w:val="1072"/>
    <w:next w:val="1202"/>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3">
    <w:name w:val="Char Char1 Char Char Char Char Char Char"/>
    <w:basedOn w:val="1072"/>
    <w:next w:val="1203"/>
    <w:link w:val="1072"/>
    <w:qFormat/>
    <w:pPr>
      <w:jc w:val="left"/>
      <w:spacing w:after="160" w:line="240" w:lineRule="exact"/>
      <w:widowControl/>
    </w:pPr>
    <w:rPr>
      <w:rFonts w:ascii="Verdana" w:hAnsi="Verdana" w:eastAsia="仿宋_GB2312"/>
      <w:sz w:val="24"/>
      <w:szCs w:val="20"/>
      <w:lang w:eastAsia="en-US"/>
    </w:rPr>
  </w:style>
  <w:style w:type="paragraph" w:styleId="1204">
    <w:name w:val="Char Char1"/>
    <w:basedOn w:val="1097"/>
    <w:next w:val="1204"/>
    <w:link w:val="1072"/>
    <w:qFormat/>
    <w:rPr>
      <w:rFonts w:ascii="Tahoma" w:hAnsi="Tahoma"/>
      <w:sz w:val="24"/>
    </w:rPr>
  </w:style>
  <w:style w:type="paragraph" w:styleId="1205">
    <w:name w:val="xl26"/>
    <w:basedOn w:val="1072"/>
    <w:next w:val="120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6">
    <w:name w:val="xl30"/>
    <w:basedOn w:val="1072"/>
    <w:next w:val="120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7">
    <w:name w:val="xl41"/>
    <w:basedOn w:val="1072"/>
    <w:next w:val="1207"/>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8">
    <w:name w:val="样式 宋体 五号 行距: 单倍行距"/>
    <w:basedOn w:val="1072"/>
    <w:next w:val="1208"/>
    <w:link w:val="1072"/>
    <w:qFormat/>
    <w:pPr>
      <w:jc w:val="left"/>
    </w:pPr>
    <w:rPr>
      <w:rFonts w:ascii="宋体" w:hAnsi="宋体"/>
      <w:szCs w:val="20"/>
    </w:rPr>
  </w:style>
  <w:style w:type="paragraph" w:styleId="1209">
    <w:name w:val="Char1 Char Char Char1"/>
    <w:basedOn w:val="1072"/>
    <w:next w:val="1209"/>
    <w:link w:val="1072"/>
    <w:qFormat/>
    <w:rPr>
      <w:rFonts w:ascii="Tahoma" w:hAnsi="Tahoma" w:cs="仿宋_GB2312"/>
      <w:sz w:val="24"/>
      <w:szCs w:val="28"/>
    </w:rPr>
  </w:style>
  <w:style w:type="paragraph" w:styleId="1210">
    <w:name w:val="四级条标题"/>
    <w:basedOn w:val="1211"/>
    <w:next w:val="1072"/>
    <w:link w:val="1072"/>
    <w:qFormat/>
    <w:pPr>
      <w:numPr>
        <w:ilvl w:val="4"/>
      </w:numPr>
      <w:ind w:left="0" w:hanging="840"/>
      <w:tabs>
        <w:tab w:val="left" w:pos="360" w:leader="none"/>
        <w:tab w:val="left" w:pos="840" w:leader="none"/>
      </w:tabs>
      <w:outlineLvl w:val="4"/>
    </w:pPr>
  </w:style>
  <w:style w:type="paragraph" w:styleId="1211">
    <w:name w:val="三级条标题"/>
    <w:basedOn w:val="1173"/>
    <w:next w:val="1072"/>
    <w:link w:val="1072"/>
    <w:qFormat/>
    <w:pPr>
      <w:numPr>
        <w:ilvl w:val="3"/>
        <w:numId w:val="1"/>
      </w:numPr>
      <w:ind w:left="0" w:hanging="840"/>
      <w:tabs>
        <w:tab w:val="left" w:pos="360" w:leader="none"/>
        <w:tab w:val="left" w:pos="840" w:leader="none"/>
      </w:tabs>
      <w:outlineLvl w:val="3"/>
    </w:pPr>
  </w:style>
  <w:style w:type="paragraph" w:styleId="1212">
    <w:name w:val="??"/>
    <w:next w:val="1212"/>
    <w:link w:val="1072"/>
    <w:qFormat/>
    <w:pPr>
      <w:jc w:val="both"/>
      <w:widowControl w:val="off"/>
    </w:pPr>
    <w:rPr>
      <w:sz w:val="21"/>
      <w:lang w:val="en-US" w:eastAsia="en-US" w:bidi="ar-SA"/>
    </w:rPr>
  </w:style>
  <w:style w:type="paragraph" w:styleId="1213">
    <w:name w:val="样式 标题 2 + 宋体 五号 行距: 单倍行距"/>
    <w:basedOn w:val="1074"/>
    <w:next w:val="1213"/>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4">
    <w:name w:val="List Paragraph1"/>
    <w:basedOn w:val="1072"/>
    <w:next w:val="1214"/>
    <w:link w:val="1072"/>
    <w:qFormat/>
    <w:pPr>
      <w:ind w:firstLine="420"/>
    </w:pPr>
    <w:rPr>
      <w:rFonts w:ascii="Calibri" w:hAnsi="Calibri"/>
      <w:szCs w:val="22"/>
    </w:rPr>
  </w:style>
  <w:style w:type="paragraph" w:styleId="1215">
    <w:name w:val="项目符号1"/>
    <w:basedOn w:val="1216"/>
    <w:next w:val="1215"/>
    <w:link w:val="1072"/>
    <w:qFormat/>
    <w:pPr>
      <w:ind w:left="-25" w:firstLine="0"/>
    </w:pPr>
  </w:style>
  <w:style w:type="paragraph" w:styleId="1216">
    <w:name w:val="正文文本样式"/>
    <w:basedOn w:val="1072"/>
    <w:next w:val="1216"/>
    <w:link w:val="1072"/>
    <w:qFormat/>
    <w:pPr>
      <w:ind w:firstLine="482"/>
      <w:spacing w:line="360" w:lineRule="auto"/>
    </w:pPr>
    <w:rPr>
      <w:rFonts w:cs="宋体"/>
      <w:sz w:val="24"/>
      <w:szCs w:val="20"/>
    </w:rPr>
  </w:style>
  <w:style w:type="paragraph" w:styleId="1217">
    <w:name w:val="xl27"/>
    <w:basedOn w:val="1072"/>
    <w:next w:val="121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8">
    <w:name w:val="font5"/>
    <w:basedOn w:val="1072"/>
    <w:next w:val="1218"/>
    <w:link w:val="1072"/>
    <w:qFormat/>
    <w:pPr>
      <w:jc w:val="left"/>
      <w:spacing w:before="100" w:beforeAutospacing="1" w:after="100" w:afterAutospacing="1"/>
      <w:widowControl/>
    </w:pPr>
    <w:rPr>
      <w:rFonts w:ascii="宋体" w:hAnsi="宋体" w:cs="宋体"/>
      <w:sz w:val="18"/>
      <w:szCs w:val="18"/>
    </w:rPr>
  </w:style>
  <w:style w:type="paragraph" w:styleId="1219">
    <w:name w:val="五级条标题"/>
    <w:basedOn w:val="1210"/>
    <w:next w:val="1072"/>
    <w:link w:val="1072"/>
    <w:qFormat/>
    <w:pPr>
      <w:numPr>
        <w:ilvl w:val="5"/>
      </w:numPr>
      <w:ind w:left="0" w:hanging="840"/>
      <w:tabs>
        <w:tab w:val="left" w:pos="360" w:leader="none"/>
        <w:tab w:val="left" w:pos="840" w:leader="none"/>
      </w:tabs>
      <w:outlineLvl w:val="5"/>
    </w:pPr>
  </w:style>
  <w:style w:type="paragraph" w:styleId="1220">
    <w:name w:val="xl49"/>
    <w:basedOn w:val="1072"/>
    <w:next w:val="122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1">
    <w:name w:val="文档正文"/>
    <w:basedOn w:val="1072"/>
    <w:next w:val="1221"/>
    <w:link w:val="1072"/>
    <w:qFormat/>
    <w:pPr>
      <w:spacing w:before="120" w:after="120" w:line="180" w:lineRule="auto"/>
    </w:pPr>
    <w:rPr>
      <w:rFonts w:ascii="Arial" w:hAnsi="Arial"/>
      <w:szCs w:val="20"/>
    </w:rPr>
  </w:style>
  <w:style w:type="paragraph" w:styleId="1222">
    <w:name w:val="xl33"/>
    <w:basedOn w:val="1072"/>
    <w:next w:val="1222"/>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3">
    <w:name w:val="xl42"/>
    <w:basedOn w:val="1072"/>
    <w:next w:val="122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4">
    <w:name w:val="Char Char Char1 Char"/>
    <w:basedOn w:val="1072"/>
    <w:next w:val="1224"/>
    <w:link w:val="1072"/>
    <w:qFormat/>
    <w:rPr>
      <w:rFonts w:ascii="Tahoma" w:hAnsi="Tahoma"/>
      <w:sz w:val="24"/>
      <w:szCs w:val="20"/>
    </w:rPr>
  </w:style>
  <w:style w:type="paragraph" w:styleId="1225">
    <w:name w:val="xl44"/>
    <w:basedOn w:val="1072"/>
    <w:next w:val="122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6">
    <w:name w:val="1名"/>
    <w:basedOn w:val="1072"/>
    <w:next w:val="1226"/>
    <w:link w:val="1072"/>
    <w:qFormat/>
    <w:pPr>
      <w:numPr>
        <w:ilvl w:val="0"/>
        <w:numId w:val="5"/>
      </w:numPr>
      <w:spacing w:before="120"/>
      <w:tabs>
        <w:tab w:val="left" w:pos="360" w:leader="none"/>
      </w:tabs>
    </w:pPr>
    <w:rPr>
      <w:rFonts w:ascii="宋体"/>
      <w:sz w:val="28"/>
      <w:szCs w:val="20"/>
    </w:rPr>
  </w:style>
  <w:style w:type="paragraph" w:styleId="1227">
    <w:name w:val="font9"/>
    <w:basedOn w:val="1072"/>
    <w:next w:val="1227"/>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8">
    <w:name w:val="Char Char Char1 Char1"/>
    <w:basedOn w:val="1072"/>
    <w:next w:val="1228"/>
    <w:link w:val="1072"/>
    <w:qFormat/>
    <w:rPr>
      <w:rFonts w:ascii="Tahoma" w:hAnsi="Tahoma"/>
      <w:sz w:val="24"/>
      <w:szCs w:val="20"/>
    </w:rPr>
  </w:style>
  <w:style w:type="paragraph" w:styleId="1229">
    <w:name w:val="Char Char Char Char Char Char Char Char Char Char"/>
    <w:basedOn w:val="1072"/>
    <w:next w:val="1229"/>
    <w:link w:val="1072"/>
    <w:qFormat/>
  </w:style>
  <w:style w:type="paragraph" w:styleId="1230">
    <w:name w:val="Char Char1 Char Char Char Char Char Char Char Char"/>
    <w:basedOn w:val="1072"/>
    <w:next w:val="1230"/>
    <w:link w:val="1072"/>
    <w:qFormat/>
    <w:pPr>
      <w:jc w:val="left"/>
      <w:spacing w:after="160" w:line="240" w:lineRule="exact"/>
      <w:widowControl/>
    </w:pPr>
    <w:rPr>
      <w:rFonts w:ascii="Verdana" w:hAnsi="Verdana"/>
      <w:sz w:val="20"/>
      <w:szCs w:val="20"/>
      <w:lang w:eastAsia="en-US"/>
    </w:rPr>
  </w:style>
  <w:style w:type="paragraph" w:styleId="1231">
    <w:name w:val="Char1"/>
    <w:basedOn w:val="1072"/>
    <w:next w:val="1231"/>
    <w:link w:val="1072"/>
    <w:qFormat/>
    <w:pPr>
      <w:tabs>
        <w:tab w:val="left" w:pos="360" w:leader="none"/>
      </w:tabs>
    </w:pPr>
    <w:rPr>
      <w:sz w:val="24"/>
    </w:rPr>
  </w:style>
  <w:style w:type="paragraph" w:styleId="1232">
    <w:name w:val="正文列项_字母"/>
    <w:basedOn w:val="1072"/>
    <w:next w:val="1232"/>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3">
    <w:name w:val="xl28"/>
    <w:basedOn w:val="1072"/>
    <w:next w:val="1233"/>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4">
    <w:name w:val="xl47"/>
    <w:basedOn w:val="1072"/>
    <w:next w:val="1234"/>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默认段落字体 Para Char Char Char Char"/>
    <w:basedOn w:val="1072"/>
    <w:next w:val="1235"/>
    <w:link w:val="1072"/>
    <w:qFormat/>
    <w:rPr>
      <w:rFonts w:ascii="Arial" w:hAnsi="Arial" w:cs="Arial"/>
      <w:szCs w:val="21"/>
    </w:rPr>
  </w:style>
  <w:style w:type="paragraph" w:styleId="1236">
    <w:name w:val="xl48"/>
    <w:basedOn w:val="1072"/>
    <w:next w:val="123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7">
    <w:name w:val="xl31"/>
    <w:basedOn w:val="1072"/>
    <w:next w:val="1237"/>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8">
    <w:name w:val="xl53"/>
    <w:basedOn w:val="1072"/>
    <w:next w:val="123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9">
    <w:name w:val="Char Char Char"/>
    <w:basedOn w:val="1072"/>
    <w:next w:val="1239"/>
    <w:link w:val="1072"/>
    <w:qFormat/>
    <w:rPr>
      <w:rFonts w:ascii="Tahoma" w:hAnsi="Tahoma"/>
      <w:sz w:val="24"/>
      <w:szCs w:val="20"/>
    </w:rPr>
  </w:style>
  <w:style w:type="paragraph" w:styleId="1240">
    <w:name w:val="xl50"/>
    <w:basedOn w:val="1072"/>
    <w:next w:val="124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1">
    <w:name w:val="缺省文本"/>
    <w:basedOn w:val="1072"/>
    <w:next w:val="1241"/>
    <w:link w:val="1072"/>
    <w:qFormat/>
    <w:pPr>
      <w:jc w:val="left"/>
    </w:pPr>
    <w:rPr>
      <w:sz w:val="24"/>
    </w:rPr>
  </w:style>
  <w:style w:type="paragraph" w:styleId="1242">
    <w:name w:val="Char Char Char1"/>
    <w:basedOn w:val="1072"/>
    <w:next w:val="1242"/>
    <w:link w:val="1072"/>
    <w:qFormat/>
    <w:rPr>
      <w:rFonts w:ascii="Tahoma" w:hAnsi="Tahoma"/>
      <w:sz w:val="24"/>
      <w:szCs w:val="20"/>
    </w:rPr>
  </w:style>
  <w:style w:type="paragraph" w:styleId="1243">
    <w:name w:val="Char Char Char Char Char Char Char1"/>
    <w:basedOn w:val="1072"/>
    <w:next w:val="1243"/>
    <w:link w:val="1072"/>
    <w:qFormat/>
    <w:pPr>
      <w:ind w:firstLine="200"/>
      <w:spacing w:line="360" w:lineRule="auto"/>
    </w:pPr>
    <w:rPr>
      <w:rFonts w:eastAsia="仿宋_GB2312"/>
      <w:sz w:val="24"/>
    </w:rPr>
  </w:style>
  <w:style w:type="paragraph" w:styleId="1244">
    <w:name w:val="xl51"/>
    <w:basedOn w:val="1072"/>
    <w:next w:val="1244"/>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样式2"/>
    <w:basedOn w:val="1134"/>
    <w:next w:val="1245"/>
    <w:link w:val="1072"/>
    <w:qFormat/>
    <w:pPr>
      <w:jc w:val="center"/>
      <w:spacing w:line="360" w:lineRule="auto"/>
    </w:pPr>
    <w:rPr>
      <w:sz w:val="24"/>
    </w:rPr>
  </w:style>
  <w:style w:type="paragraph" w:styleId="1246">
    <w:name w:val="xl24"/>
    <w:basedOn w:val="1072"/>
    <w:next w:val="124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xl29"/>
    <w:basedOn w:val="1072"/>
    <w:next w:val="124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8">
    <w:name w:val="正文 + 楷体_GB2312"/>
    <w:basedOn w:val="1072"/>
    <w:next w:val="1248"/>
    <w:link w:val="1072"/>
    <w:qFormat/>
    <w:pPr>
      <w:jc w:val="left"/>
      <w:widowControl/>
    </w:pPr>
    <w:rPr>
      <w:rFonts w:ascii="楷体_GB2312" w:eastAsia="楷体_GB2312" w:cs="Arial"/>
      <w:sz w:val="24"/>
    </w:rPr>
  </w:style>
  <w:style w:type="paragraph" w:styleId="1249">
    <w:name w:val="xl34"/>
    <w:basedOn w:val="1072"/>
    <w:next w:val="124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0">
    <w:name w:val="1 Char Char Char Char"/>
    <w:basedOn w:val="1072"/>
    <w:next w:val="1250"/>
    <w:link w:val="1072"/>
    <w:qFormat/>
    <w:rPr>
      <w:rFonts w:ascii="Tahoma" w:hAnsi="Tahoma"/>
      <w:sz w:val="24"/>
      <w:szCs w:val="20"/>
    </w:rPr>
  </w:style>
  <w:style w:type="paragraph" w:styleId="1251">
    <w:name w:val="Default"/>
    <w:next w:val="1251"/>
    <w:link w:val="1072"/>
    <w:qFormat/>
    <w:pPr>
      <w:widowControl w:val="off"/>
    </w:pPr>
    <w:rPr>
      <w:rFonts w:ascii="Symbol" w:hAnsi="Symbol" w:cs="Symbol"/>
      <w:color w:val="000000"/>
      <w:sz w:val="24"/>
      <w:szCs w:val="24"/>
      <w:lang w:val="en-US" w:eastAsia="zh-CN" w:bidi="ar-SA"/>
    </w:rPr>
  </w:style>
  <w:style w:type="paragraph" w:styleId="1252">
    <w:name w:val="列出段落1"/>
    <w:basedOn w:val="1072"/>
    <w:next w:val="1252"/>
    <w:link w:val="1072"/>
    <w:qFormat/>
    <w:pPr>
      <w:ind w:firstLine="420"/>
    </w:pPr>
    <w:rPr>
      <w:rFonts w:ascii="Calibri" w:hAnsi="Calibri"/>
      <w:szCs w:val="22"/>
    </w:rPr>
  </w:style>
  <w:style w:type="paragraph" w:styleId="1253">
    <w:name w:val="default"/>
    <w:basedOn w:val="1072"/>
    <w:next w:val="1253"/>
    <w:link w:val="1072"/>
    <w:qFormat/>
    <w:pPr>
      <w:jc w:val="left"/>
      <w:spacing w:before="100" w:beforeAutospacing="1" w:after="100" w:afterAutospacing="1"/>
      <w:widowControl/>
    </w:pPr>
    <w:rPr>
      <w:rFonts w:ascii="宋体" w:hAnsi="宋体" w:cs="宋体"/>
      <w:sz w:val="24"/>
    </w:rPr>
  </w:style>
  <w:style w:type="paragraph" w:styleId="1254">
    <w:name w:val="字元 字元1"/>
    <w:basedOn w:val="1072"/>
    <w:next w:val="1254"/>
    <w:link w:val="1072"/>
    <w:qFormat/>
    <w:rPr>
      <w:rFonts w:ascii="Tahoma" w:hAnsi="Tahoma"/>
      <w:sz w:val="24"/>
      <w:szCs w:val="20"/>
    </w:rPr>
  </w:style>
  <w:style w:type="paragraph" w:styleId="1255">
    <w:name w:val="_Style 160"/>
    <w:next w:val="1255"/>
    <w:link w:val="1072"/>
    <w:qFormat/>
    <w:rPr>
      <w:sz w:val="21"/>
      <w:szCs w:val="24"/>
      <w:lang w:val="en-US" w:eastAsia="zh-CN" w:bidi="ar-SA"/>
    </w:rPr>
  </w:style>
  <w:style w:type="paragraph" w:styleId="1256">
    <w:name w:val="项目编号3"/>
    <w:basedOn w:val="1216"/>
    <w:next w:val="1256"/>
    <w:link w:val="1072"/>
    <w:qFormat/>
    <w:pPr>
      <w:numPr>
        <w:ilvl w:val="0"/>
        <w:numId w:val="6"/>
      </w:numPr>
    </w:pPr>
  </w:style>
  <w:style w:type="paragraph" w:styleId="1257">
    <w:name w:val="Char21"/>
    <w:basedOn w:val="1072"/>
    <w:next w:val="1257"/>
    <w:link w:val="1072"/>
    <w:qFormat/>
    <w:rPr>
      <w:rFonts w:ascii="Tahoma" w:hAnsi="Tahoma"/>
      <w:sz w:val="24"/>
      <w:szCs w:val="20"/>
    </w:rPr>
  </w:style>
  <w:style w:type="paragraph" w:styleId="1258">
    <w:name w:val="表格文字"/>
    <w:basedOn w:val="1105"/>
    <w:next w:val="1258"/>
    <w:link w:val="1072"/>
    <w:qFormat/>
    <w:pPr>
      <w:ind w:firstLine="0"/>
      <w:spacing w:before="20" w:after="20" w:line="240" w:lineRule="auto"/>
    </w:pPr>
    <w:rPr>
      <w:rFonts w:ascii="Century Gothic" w:hAnsi="Century Gothic"/>
      <w:sz w:val="20"/>
      <w:szCs w:val="20"/>
    </w:rPr>
  </w:style>
  <w:style w:type="paragraph" w:styleId="1259">
    <w:name w:val="Char Char Char Char Char Char Char Char Char Char1"/>
    <w:basedOn w:val="1072"/>
    <w:next w:val="1259"/>
    <w:link w:val="1072"/>
    <w:qFormat/>
    <w:rPr>
      <w:rFonts w:ascii="宋体" w:hAnsi="宋体" w:cs="Courier New"/>
      <w:sz w:val="32"/>
      <w:szCs w:val="32"/>
    </w:rPr>
  </w:style>
  <w:style w:type="paragraph" w:styleId="1260">
    <w:name w:val="正文文本样式 加粗"/>
    <w:basedOn w:val="1216"/>
    <w:next w:val="1260"/>
    <w:link w:val="1072"/>
    <w:qFormat/>
    <w:rPr>
      <w:b/>
    </w:rPr>
  </w:style>
  <w:style w:type="paragraph" w:styleId="1261">
    <w:name w:val="Char2 Char Char Char Char Char Char"/>
    <w:basedOn w:val="1072"/>
    <w:next w:val="1261"/>
    <w:link w:val="1072"/>
    <w:qFormat/>
    <w:pPr>
      <w:jc w:val="center"/>
      <w:spacing w:line="400" w:lineRule="exact"/>
      <w:widowControl/>
    </w:pPr>
  </w:style>
  <w:style w:type="paragraph" w:styleId="1262">
    <w:name w:val="Char Char4"/>
    <w:basedOn w:val="1072"/>
    <w:next w:val="1262"/>
    <w:link w:val="1072"/>
    <w:qFormat/>
    <w:pPr>
      <w:jc w:val="center"/>
      <w:spacing w:line="400" w:lineRule="exact"/>
      <w:widowControl/>
    </w:pPr>
  </w:style>
  <w:style w:type="paragraph" w:styleId="1263">
    <w:name w:val="Char3 Char Char Char1"/>
    <w:basedOn w:val="1072"/>
    <w:next w:val="1263"/>
    <w:link w:val="1072"/>
    <w:qFormat/>
    <w:rPr>
      <w:rFonts w:ascii="Tahoma" w:hAnsi="Tahoma"/>
      <w:sz w:val="24"/>
      <w:szCs w:val="20"/>
    </w:rPr>
  </w:style>
  <w:style w:type="paragraph" w:styleId="1264">
    <w:name w:val="无间隔"/>
    <w:next w:val="1264"/>
    <w:link w:val="1072"/>
    <w:qFormat/>
    <w:pPr>
      <w:jc w:val="both"/>
      <w:widowControl w:val="off"/>
    </w:pPr>
    <w:rPr>
      <w:sz w:val="21"/>
      <w:szCs w:val="24"/>
      <w:lang w:val="en-US" w:eastAsia="zh-CN" w:bidi="ar-SA"/>
    </w:rPr>
  </w:style>
  <w:style w:type="paragraph" w:styleId="1265">
    <w:name w:val="22222222222222"/>
    <w:basedOn w:val="1072"/>
    <w:next w:val="1265"/>
    <w:link w:val="1072"/>
    <w:qFormat/>
    <w:pPr>
      <w:ind w:firstLine="480"/>
      <w:jc w:val="left"/>
      <w:spacing w:line="360" w:lineRule="auto"/>
      <w:widowControl/>
    </w:pPr>
    <w:rPr>
      <w:color w:val="ff0000"/>
      <w:sz w:val="24"/>
      <w:szCs w:val="20"/>
    </w:rPr>
  </w:style>
  <w:style w:type="character" w:styleId="1266">
    <w:name w:val="中等深浅网格 1 - 强调文字颜色 2 Char"/>
    <w:next w:val="1266"/>
    <w:link w:val="1267"/>
    <w:qFormat/>
    <w:rPr>
      <w:sz w:val="21"/>
      <w:szCs w:val="24"/>
      <w:lang w:val="zh-CN" w:eastAsia="zh-CN" w:bidi="ar-SA"/>
    </w:rPr>
  </w:style>
  <w:style w:type="paragraph" w:styleId="1267">
    <w:name w:val="1"/>
    <w:next w:val="1267"/>
    <w:link w:val="1266"/>
    <w:qFormat/>
    <w:rPr>
      <w:sz w:val="21"/>
      <w:szCs w:val="24"/>
      <w:lang w:val="zh-CN" w:eastAsia="zh-CN" w:bidi="ar-SA"/>
    </w:rPr>
  </w:style>
  <w:style w:type="paragraph" w:styleId="1268">
    <w:name w:val="图文"/>
    <w:basedOn w:val="1072"/>
    <w:next w:val="1268"/>
    <w:link w:val="1072"/>
    <w:qFormat/>
    <w:pPr>
      <w:spacing w:after="50" w:line="360" w:lineRule="auto"/>
    </w:pPr>
    <w:rPr>
      <w:sz w:val="24"/>
    </w:rPr>
  </w:style>
  <w:style w:type="paragraph" w:styleId="1269">
    <w:name w:val="xl23"/>
    <w:basedOn w:val="1072"/>
    <w:next w:val="1269"/>
    <w:link w:val="1072"/>
    <w:qFormat/>
    <w:pPr>
      <w:spacing w:before="100" w:beforeAutospacing="1" w:after="100" w:afterAutospacing="1" w:line="360" w:lineRule="auto"/>
      <w:widowControl/>
    </w:pPr>
    <w:rPr>
      <w:sz w:val="24"/>
      <w:szCs w:val="20"/>
    </w:rPr>
  </w:style>
  <w:style w:type="paragraph" w:styleId="1270">
    <w:name w:val="正文表格"/>
    <w:basedOn w:val="1072"/>
    <w:next w:val="1270"/>
    <w:link w:val="1271"/>
    <w:qFormat/>
    <w:pPr>
      <w:jc w:val="left"/>
    </w:pPr>
    <w:rPr>
      <w:rFonts w:ascii="宋体" w:hAnsi="宋体"/>
      <w:color w:val="000000"/>
      <w:szCs w:val="21"/>
    </w:rPr>
  </w:style>
  <w:style w:type="character" w:styleId="1271">
    <w:name w:val="正文表格 Char"/>
    <w:next w:val="1271"/>
    <w:link w:val="1270"/>
    <w:qFormat/>
    <w:rPr>
      <w:rFonts w:ascii="宋体" w:hAnsi="宋体"/>
      <w:color w:val="000000"/>
      <w:sz w:val="21"/>
      <w:szCs w:val="21"/>
    </w:rPr>
  </w:style>
  <w:style w:type="paragraph" w:styleId="1272">
    <w:name w:val="正文重点"/>
    <w:basedOn w:val="1072"/>
    <w:next w:val="1272"/>
    <w:link w:val="1273"/>
    <w:qFormat/>
    <w:pPr>
      <w:ind w:firstLine="482"/>
      <w:jc w:val="left"/>
      <w:spacing w:line="360" w:lineRule="auto"/>
    </w:pPr>
    <w:rPr>
      <w:b/>
      <w:sz w:val="24"/>
      <w:szCs w:val="20"/>
    </w:rPr>
  </w:style>
  <w:style w:type="character" w:styleId="1273">
    <w:name w:val="正文重点 Char"/>
    <w:next w:val="1273"/>
    <w:link w:val="1272"/>
    <w:qFormat/>
    <w:rPr>
      <w:b/>
      <w:sz w:val="24"/>
    </w:rPr>
  </w:style>
  <w:style w:type="paragraph" w:styleId="1274">
    <w:name w:val="标题1-附件"/>
    <w:basedOn w:val="1073"/>
    <w:next w:val="1274"/>
    <w:link w:val="1072"/>
    <w:qFormat/>
    <w:pPr>
      <w:jc w:val="left"/>
    </w:pPr>
    <w:rPr>
      <w:sz w:val="24"/>
      <w:szCs w:val="24"/>
    </w:rPr>
  </w:style>
  <w:style w:type="paragraph" w:styleId="1275">
    <w:name w:val="正文小标题"/>
    <w:basedOn w:val="1072"/>
    <w:next w:val="1086"/>
    <w:link w:val="1276"/>
    <w:qFormat/>
    <w:pPr>
      <w:ind w:firstLine="482"/>
      <w:jc w:val="left"/>
      <w:spacing w:before="312" w:after="312"/>
    </w:pPr>
    <w:rPr>
      <w:rFonts w:ascii="宋体" w:hAnsi="宋体"/>
      <w:b/>
      <w:i/>
      <w:color w:val="ff0000"/>
      <w:sz w:val="24"/>
      <w:szCs w:val="20"/>
    </w:rPr>
  </w:style>
  <w:style w:type="character" w:styleId="1276">
    <w:name w:val="正文小标题 Char"/>
    <w:next w:val="1276"/>
    <w:link w:val="1275"/>
    <w:qFormat/>
    <w:rPr>
      <w:rFonts w:ascii="宋体" w:hAnsi="宋体"/>
      <w:b/>
      <w:i/>
      <w:color w:val="ff0000"/>
      <w:sz w:val="24"/>
    </w:rPr>
  </w:style>
  <w:style w:type="paragraph" w:styleId="1277">
    <w:name w:val="正文大标题"/>
    <w:basedOn w:val="1275"/>
    <w:next w:val="1086"/>
    <w:link w:val="1278"/>
    <w:qFormat/>
    <w:pPr>
      <w:jc w:val="center"/>
    </w:pPr>
    <w:rPr>
      <w:i w:val="0"/>
      <w:color w:val="000000"/>
      <w:sz w:val="28"/>
      <w:szCs w:val="21"/>
    </w:rPr>
  </w:style>
  <w:style w:type="character" w:styleId="1278">
    <w:name w:val="正文大标题 Char"/>
    <w:next w:val="1278"/>
    <w:link w:val="1277"/>
    <w:qFormat/>
    <w:rPr>
      <w:rFonts w:ascii="宋体" w:hAnsi="宋体"/>
      <w:b/>
      <w:color w:val="000000"/>
      <w:sz w:val="28"/>
      <w:szCs w:val="21"/>
    </w:rPr>
  </w:style>
  <w:style w:type="paragraph" w:styleId="1279">
    <w:name w:val="注释"/>
    <w:basedOn w:val="1072"/>
    <w:next w:val="1279"/>
    <w:link w:val="1280"/>
    <w:qFormat/>
    <w:pPr>
      <w:ind w:left="420" w:hanging="420"/>
      <w:jc w:val="left"/>
    </w:pPr>
    <w:rPr>
      <w:rFonts w:ascii="宋体" w:hAnsi="宋体"/>
      <w:szCs w:val="21"/>
    </w:rPr>
  </w:style>
  <w:style w:type="character" w:styleId="1280">
    <w:name w:val="注释 Char"/>
    <w:next w:val="1280"/>
    <w:link w:val="1279"/>
    <w:qFormat/>
    <w:rPr>
      <w:rFonts w:ascii="宋体" w:hAnsi="宋体"/>
      <w:sz w:val="21"/>
      <w:szCs w:val="21"/>
    </w:rPr>
  </w:style>
  <w:style w:type="paragraph" w:styleId="1281">
    <w:name w:val="正文须知-1级"/>
    <w:basedOn w:val="1072"/>
    <w:next w:val="1072"/>
    <w:link w:val="1072"/>
    <w:qFormat/>
    <w:pPr>
      <w:numPr>
        <w:ilvl w:val="0"/>
        <w:numId w:val="7"/>
      </w:numPr>
      <w:spacing w:line="300" w:lineRule="auto"/>
    </w:pPr>
    <w:rPr>
      <w:rFonts w:ascii="宋体" w:hAnsi="Calibri"/>
      <w:sz w:val="24"/>
      <w:szCs w:val="21"/>
    </w:rPr>
  </w:style>
  <w:style w:type="paragraph" w:styleId="1282">
    <w:name w:val="正文须知-2级"/>
    <w:basedOn w:val="1072"/>
    <w:next w:val="1282"/>
    <w:link w:val="1072"/>
    <w:qFormat/>
    <w:pPr>
      <w:numPr>
        <w:ilvl w:val="1"/>
        <w:numId w:val="7"/>
      </w:numPr>
      <w:spacing w:line="300" w:lineRule="auto"/>
    </w:pPr>
    <w:rPr>
      <w:rFonts w:ascii="宋体" w:hAnsi="Calibri"/>
      <w:sz w:val="24"/>
      <w:szCs w:val="21"/>
    </w:rPr>
  </w:style>
  <w:style w:type="paragraph" w:styleId="1283">
    <w:name w:val="正文须知-3级"/>
    <w:basedOn w:val="1072"/>
    <w:next w:val="1283"/>
    <w:link w:val="1072"/>
    <w:qFormat/>
    <w:pPr>
      <w:numPr>
        <w:ilvl w:val="2"/>
        <w:numId w:val="7"/>
      </w:numPr>
      <w:ind w:hanging="355"/>
      <w:spacing w:line="300" w:lineRule="auto"/>
    </w:pPr>
    <w:rPr>
      <w:rFonts w:ascii="宋体" w:hAnsi="Calibri"/>
      <w:sz w:val="24"/>
      <w:szCs w:val="21"/>
    </w:rPr>
  </w:style>
  <w:style w:type="character" w:styleId="1284">
    <w:name w:val="纯文本 字符"/>
    <w:next w:val="1284"/>
    <w:link w:val="1072"/>
    <w:uiPriority w:val="99"/>
    <w:qFormat/>
    <w:rPr>
      <w:rFonts w:ascii="宋体" w:hAnsi="Courier New" w:eastAsia="宋体" w:cs="Times New Roman"/>
      <w:sz w:val="21"/>
      <w:szCs w:val="21"/>
      <w:lang w:val="en-US" w:eastAsia="zh-CN" w:bidi="ar-SA"/>
    </w:rPr>
  </w:style>
  <w:style w:type="paragraph" w:styleId="1285">
    <w:name w:val="表格1"/>
    <w:basedOn w:val="1072"/>
    <w:next w:val="1285"/>
    <w:link w:val="1072"/>
    <w:qFormat/>
    <w:pPr>
      <w:ind w:firstLine="480"/>
      <w:jc w:val="center"/>
    </w:pPr>
    <w:rPr>
      <w:sz w:val="24"/>
      <w:szCs w:val="20"/>
    </w:rPr>
  </w:style>
  <w:style w:type="character" w:styleId="1286">
    <w:name w:val="纯文本 字符1"/>
    <w:next w:val="1286"/>
    <w:link w:val="1072"/>
    <w:qFormat/>
    <w:rPr>
      <w:rFonts w:ascii="宋体" w:hAnsi="Courier New"/>
    </w:rPr>
  </w:style>
  <w:style w:type="character" w:styleId="1287">
    <w:name w:val="bjh-p"/>
    <w:next w:val="1287"/>
    <w:link w:val="1072"/>
    <w:qFormat/>
  </w:style>
  <w:style w:type="paragraph" w:styleId="1288">
    <w:name w:val="无标题条"/>
    <w:next w:val="1072"/>
    <w:link w:val="1072"/>
    <w:qFormat/>
    <w:pPr>
      <w:jc w:val="both"/>
    </w:pPr>
    <w:rPr>
      <w:sz w:val="21"/>
      <w:lang w:val="en-US" w:eastAsia="zh-CN" w:bidi="ar-SA"/>
    </w:rPr>
  </w:style>
  <w:style w:type="character" w:styleId="1289">
    <w:name w:val="正文格式 Char"/>
    <w:next w:val="1289"/>
    <w:link w:val="1290"/>
    <w:qFormat/>
    <w:rPr>
      <w:rFonts w:ascii="宋体" w:hAnsi="宋体"/>
      <w:sz w:val="24"/>
      <w:szCs w:val="24"/>
      <w:lang w:val="en-GB"/>
    </w:rPr>
  </w:style>
  <w:style w:type="paragraph" w:styleId="1290">
    <w:name w:val="正文格式"/>
    <w:basedOn w:val="1072"/>
    <w:next w:val="1290"/>
    <w:link w:val="1289"/>
    <w:qFormat/>
    <w:pPr>
      <w:ind w:firstLine="480"/>
      <w:spacing w:line="360" w:lineRule="auto"/>
    </w:pPr>
    <w:rPr>
      <w:rFonts w:ascii="宋体" w:hAnsi="宋体"/>
      <w:sz w:val="24"/>
      <w:lang w:val="en-GB"/>
    </w:rPr>
  </w:style>
  <w:style w:type="character" w:styleId="1291">
    <w:name w:val="标题 3 Char"/>
    <w:next w:val="1291"/>
    <w:link w:val="1072"/>
    <w:qFormat/>
    <w:rPr>
      <w:rFonts w:ascii="宋体" w:eastAsia="宋体"/>
      <w:b/>
      <w:sz w:val="24"/>
      <w:u w:val="single"/>
      <w:lang w:val="en-US" w:eastAsia="zh-CN" w:bidi="ar-SA"/>
    </w:rPr>
  </w:style>
  <w:style w:type="character" w:styleId="1292">
    <w:name w:val="正文缩进 Char"/>
    <w:next w:val="1292"/>
    <w:link w:val="1072"/>
    <w:qFormat/>
    <w:rPr>
      <w:rFonts w:ascii="宋体" w:eastAsia="宋体"/>
      <w:sz w:val="24"/>
      <w:szCs w:val="24"/>
      <w:lang w:val="en-US" w:eastAsia="zh-CN" w:bidi="ar-SA"/>
    </w:rPr>
  </w:style>
  <w:style w:type="character" w:styleId="1293">
    <w:name w:val="Char Char111"/>
    <w:next w:val="1293"/>
    <w:link w:val="1072"/>
    <w:qFormat/>
    <w:rPr>
      <w:rFonts w:ascii="宋体" w:eastAsia="宋体"/>
      <w:b/>
      <w:sz w:val="24"/>
      <w:u w:val="single"/>
      <w:lang w:val="en-US" w:eastAsia="zh-CN" w:bidi="ar-SA"/>
    </w:rPr>
  </w:style>
  <w:style w:type="character" w:styleId="1294">
    <w:name w:val="正文文本缩进 Char"/>
    <w:next w:val="1294"/>
    <w:link w:val="1072"/>
    <w:qFormat/>
    <w:rPr>
      <w:rFonts w:eastAsia="宋体"/>
      <w:sz w:val="24"/>
      <w:szCs w:val="24"/>
      <w:lang w:val="en-US" w:eastAsia="zh-CN" w:bidi="ar-SA"/>
    </w:rPr>
  </w:style>
  <w:style w:type="character" w:styleId="1295">
    <w:name w:val="列出段落 Char"/>
    <w:next w:val="1295"/>
    <w:link w:val="1072"/>
    <w:qFormat/>
    <w:rPr>
      <w:rFonts w:ascii="Calibri" w:hAnsi="Calibri" w:eastAsia="宋体"/>
      <w:sz w:val="21"/>
      <w:szCs w:val="22"/>
      <w:lang w:val="en-US" w:eastAsia="zh-CN" w:bidi="ar-SA"/>
    </w:rPr>
  </w:style>
  <w:style w:type="character" w:styleId="1296">
    <w:name w:val="页眉 Char"/>
    <w:next w:val="1296"/>
    <w:link w:val="1072"/>
    <w:qFormat/>
    <w:rPr>
      <w:rFonts w:eastAsia="宋体"/>
      <w:sz w:val="18"/>
      <w:szCs w:val="18"/>
      <w:lang w:val="en-US" w:eastAsia="zh-CN" w:bidi="ar-SA"/>
    </w:rPr>
  </w:style>
  <w:style w:type="character" w:styleId="1297">
    <w:name w:val="标题 2 Char"/>
    <w:next w:val="1297"/>
    <w:link w:val="1072"/>
    <w:qFormat/>
    <w:rPr>
      <w:rFonts w:ascii="Arial" w:hAnsi="Arial" w:eastAsia="黑体"/>
      <w:b/>
      <w:sz w:val="30"/>
      <w:lang w:val="en-US" w:eastAsia="zh-CN" w:bidi="ar-SA"/>
    </w:rPr>
  </w:style>
  <w:style w:type="paragraph" w:styleId="1298">
    <w:name w:val="字元 字元2"/>
    <w:basedOn w:val="1072"/>
    <w:next w:val="1298"/>
    <w:link w:val="1072"/>
    <w:qFormat/>
    <w:rPr>
      <w:rFonts w:ascii="Tahoma" w:hAnsi="Tahoma"/>
      <w:sz w:val="24"/>
      <w:szCs w:val="20"/>
    </w:rPr>
  </w:style>
  <w:style w:type="paragraph" w:styleId="1299">
    <w:name w:val="Char3 Char Char Char2"/>
    <w:basedOn w:val="1072"/>
    <w:next w:val="1299"/>
    <w:link w:val="1072"/>
    <w:qFormat/>
    <w:rPr>
      <w:rFonts w:ascii="Tahoma" w:hAnsi="Tahoma"/>
      <w:sz w:val="24"/>
      <w:szCs w:val="20"/>
    </w:rPr>
  </w:style>
  <w:style w:type="paragraph" w:styleId="1300">
    <w:name w:val="正文文本缩进2"/>
    <w:basedOn w:val="1072"/>
    <w:next w:val="1300"/>
    <w:link w:val="1072"/>
    <w:qFormat/>
    <w:pPr>
      <w:ind w:firstLine="480"/>
      <w:spacing w:line="480" w:lineRule="exact"/>
    </w:pPr>
    <w:rPr>
      <w:rFonts w:ascii="宋体" w:hAnsi="宋体"/>
      <w:sz w:val="24"/>
      <w:lang w:val="zh-CN" w:eastAsia="zh-CN"/>
    </w:rPr>
  </w:style>
  <w:style w:type="paragraph" w:styleId="1301">
    <w:name w:val="Char3"/>
    <w:basedOn w:val="1072"/>
    <w:next w:val="1301"/>
    <w:link w:val="1072"/>
    <w:qFormat/>
    <w:pPr>
      <w:tabs>
        <w:tab w:val="left" w:pos="360" w:leader="none"/>
      </w:tabs>
    </w:pPr>
    <w:rPr>
      <w:sz w:val="24"/>
    </w:rPr>
  </w:style>
  <w:style w:type="paragraph" w:styleId="1302">
    <w:name w:val="Char Char Char Char Char Char Char Char Char Char Char Char Char Char Char Char1"/>
    <w:basedOn w:val="1072"/>
    <w:next w:val="1302"/>
    <w:link w:val="1072"/>
    <w:qFormat/>
    <w:pPr>
      <w:jc w:val="center"/>
      <w:spacing w:after="160" w:line="240" w:lineRule="exact"/>
      <w:widowControl/>
    </w:pPr>
    <w:rPr>
      <w:rFonts w:ascii="宋体" w:hAnsi="宋体"/>
      <w:b/>
      <w:sz w:val="30"/>
      <w:szCs w:val="30"/>
      <w:lang w:eastAsia="en-US"/>
    </w:rPr>
  </w:style>
  <w:style w:type="paragraph" w:styleId="1303">
    <w:name w:val="Char Char1 Char Char Char Char Char Char1"/>
    <w:basedOn w:val="1072"/>
    <w:next w:val="1303"/>
    <w:link w:val="1072"/>
    <w:qFormat/>
    <w:pPr>
      <w:jc w:val="left"/>
      <w:spacing w:after="160" w:line="240" w:lineRule="exact"/>
      <w:widowControl/>
    </w:pPr>
    <w:rPr>
      <w:rFonts w:ascii="Verdana" w:hAnsi="Verdana" w:eastAsia="仿宋_GB2312"/>
      <w:sz w:val="24"/>
      <w:szCs w:val="20"/>
      <w:lang w:eastAsia="en-US"/>
    </w:rPr>
  </w:style>
  <w:style w:type="paragraph" w:styleId="1304">
    <w:name w:val="列出段落2"/>
    <w:basedOn w:val="1072"/>
    <w:next w:val="1304"/>
    <w:link w:val="1072"/>
    <w:qFormat/>
    <w:pPr>
      <w:ind w:firstLine="420"/>
    </w:pPr>
    <w:rPr>
      <w:rFonts w:ascii="Calibri" w:hAnsi="Calibri"/>
      <w:szCs w:val="22"/>
    </w:rPr>
  </w:style>
  <w:style w:type="paragraph" w:styleId="1305">
    <w:name w:val="Char Char Char1 Char2"/>
    <w:basedOn w:val="1072"/>
    <w:next w:val="1305"/>
    <w:link w:val="1072"/>
    <w:qFormat/>
    <w:rPr>
      <w:rFonts w:ascii="Tahoma" w:hAnsi="Tahoma"/>
      <w:sz w:val="24"/>
      <w:szCs w:val="20"/>
    </w:rPr>
  </w:style>
  <w:style w:type="paragraph" w:styleId="1306">
    <w:name w:val="Char Char Char2"/>
    <w:basedOn w:val="1072"/>
    <w:next w:val="1306"/>
    <w:link w:val="1072"/>
    <w:qFormat/>
    <w:rPr>
      <w:rFonts w:ascii="Tahoma" w:hAnsi="Tahoma"/>
      <w:sz w:val="24"/>
      <w:szCs w:val="20"/>
    </w:rPr>
  </w:style>
  <w:style w:type="paragraph" w:styleId="1307">
    <w:name w:val="Char Char Char Char Char Char Char2"/>
    <w:basedOn w:val="1072"/>
    <w:next w:val="1307"/>
    <w:link w:val="1072"/>
    <w:qFormat/>
    <w:pPr>
      <w:ind w:firstLine="200"/>
      <w:spacing w:line="360" w:lineRule="auto"/>
    </w:pPr>
    <w:rPr>
      <w:rFonts w:eastAsia="仿宋_GB2312"/>
      <w:sz w:val="24"/>
    </w:rPr>
  </w:style>
  <w:style w:type="paragraph" w:styleId="1308">
    <w:name w:val="正文缩进2"/>
    <w:basedOn w:val="1072"/>
    <w:next w:val="1308"/>
    <w:link w:val="1072"/>
    <w:qFormat/>
    <w:pPr>
      <w:ind w:firstLine="567"/>
      <w:spacing w:line="480" w:lineRule="exact"/>
      <w:widowControl/>
    </w:pPr>
    <w:rPr>
      <w:rFonts w:ascii="宋体"/>
      <w:color w:val="000000"/>
      <w:sz w:val="28"/>
      <w:szCs w:val="20"/>
      <w:lang w:val="zh-CN" w:eastAsia="zh-CN"/>
    </w:rPr>
  </w:style>
  <w:style w:type="paragraph" w:styleId="1309">
    <w:name w:val="Revision"/>
    <w:next w:val="1309"/>
    <w:link w:val="1072"/>
    <w:qFormat/>
    <w:rPr>
      <w:sz w:val="21"/>
      <w:szCs w:val="24"/>
      <w:lang w:val="en-US" w:eastAsia="zh-CN" w:bidi="ar-SA"/>
    </w:rPr>
  </w:style>
  <w:style w:type="paragraph" w:styleId="1310">
    <w:name w:val="Char22"/>
    <w:basedOn w:val="1072"/>
    <w:next w:val="1310"/>
    <w:link w:val="1072"/>
    <w:qFormat/>
    <w:rPr>
      <w:rFonts w:ascii="Tahoma" w:hAnsi="Tahoma"/>
      <w:sz w:val="24"/>
      <w:szCs w:val="20"/>
    </w:rPr>
  </w:style>
  <w:style w:type="paragraph" w:styleId="1311">
    <w:name w:val="Char Char Char Char Char Char Char Char Char Char2"/>
    <w:basedOn w:val="1072"/>
    <w:next w:val="1311"/>
    <w:link w:val="1072"/>
    <w:qFormat/>
    <w:rPr>
      <w:rFonts w:ascii="宋体" w:hAnsi="宋体" w:cs="Courier New"/>
      <w:sz w:val="32"/>
      <w:szCs w:val="32"/>
    </w:rPr>
  </w:style>
  <w:style w:type="paragraph" w:styleId="1312">
    <w:name w:val="Char2 Char Char Char Char Char Char1"/>
    <w:basedOn w:val="1072"/>
    <w:next w:val="1312"/>
    <w:link w:val="1072"/>
    <w:qFormat/>
    <w:pPr>
      <w:jc w:val="center"/>
      <w:spacing w:line="400" w:lineRule="exact"/>
      <w:widowControl/>
    </w:pPr>
  </w:style>
  <w:style w:type="character" w:styleId="1313">
    <w:name w:val="页脚 Char"/>
    <w:next w:val="1313"/>
    <w:link w:val="1072"/>
    <w:qFormat/>
    <w:rPr>
      <w:rFonts w:ascii="宋体" w:eastAsia="宋体"/>
      <w:sz w:val="18"/>
      <w:lang w:val="en-US" w:eastAsia="zh-CN" w:bidi="ar-SA"/>
    </w:rPr>
  </w:style>
  <w:style w:type="paragraph" w:styleId="1314">
    <w:name w:val="Char Char41"/>
    <w:basedOn w:val="1072"/>
    <w:next w:val="1314"/>
    <w:link w:val="1072"/>
    <w:qFormat/>
    <w:pPr>
      <w:jc w:val="center"/>
      <w:spacing w:line="400" w:lineRule="exact"/>
      <w:widowControl/>
    </w:pPr>
  </w:style>
  <w:style w:type="character" w:styleId="1315">
    <w:name w:val="批注文字 Char"/>
    <w:next w:val="1315"/>
    <w:link w:val="1072"/>
    <w:uiPriority w:val="99"/>
    <w:qFormat/>
    <w:rPr>
      <w:sz w:val="21"/>
      <w:szCs w:val="24"/>
    </w:rPr>
  </w:style>
  <w:style w:type="character" w:styleId="1316">
    <w:name w:val="标题 Char"/>
    <w:next w:val="1316"/>
    <w:link w:val="1072"/>
    <w:qFormat/>
    <w:rPr>
      <w:b/>
      <w:sz w:val="32"/>
    </w:rPr>
  </w:style>
  <w:style w:type="paragraph" w:styleId="1317">
    <w:name w:val="图例"/>
    <w:basedOn w:val="1072"/>
    <w:next w:val="1317"/>
    <w:link w:val="1072"/>
    <w:qFormat/>
    <w:pPr>
      <w:jc w:val="center"/>
      <w:spacing w:before="120" w:after="120" w:line="360" w:lineRule="auto"/>
    </w:pPr>
    <w:rPr>
      <w:rFonts w:eastAsia="仿宋_GB2312"/>
      <w:b/>
      <w:sz w:val="24"/>
      <w:szCs w:val="20"/>
    </w:rPr>
  </w:style>
  <w:style w:type="table" w:styleId="1318">
    <w:name w:val="Table Normal"/>
    <w:next w:val="1318"/>
    <w:link w:val="1072"/>
    <w:uiPriority w:val="2"/>
    <w:unhideWhenUsed/>
    <w:qFormat/>
    <w:pPr>
      <w:widowControl w:val="off"/>
    </w:pPr>
    <w:rPr>
      <w:rFonts w:ascii="Calibri" w:hAnsi="Calibri"/>
      <w:sz w:val="22"/>
      <w:szCs w:val="22"/>
      <w:lang w:val="en-US" w:eastAsia="en-US" w:bidi="ar-SA"/>
    </w:rPr>
    <w:tblPr/>
  </w:style>
  <w:style w:type="paragraph" w:styleId="1319">
    <w:name w:val="Table Paragraph"/>
    <w:basedOn w:val="1072"/>
    <w:next w:val="1319"/>
    <w:link w:val="1072"/>
    <w:uiPriority w:val="1"/>
    <w:qFormat/>
    <w:pPr>
      <w:jc w:val="left"/>
    </w:pPr>
    <w:rPr>
      <w:rFonts w:ascii="宋体" w:hAnsi="宋体" w:cs="宋体"/>
      <w:sz w:val="22"/>
      <w:szCs w:val="22"/>
      <w:lang w:eastAsia="en-US"/>
    </w:rPr>
  </w:style>
  <w:style w:type="paragraph" w:styleId="1320">
    <w:name w:val="成文日期"/>
    <w:basedOn w:val="1072"/>
    <w:next w:val="1320"/>
    <w:link w:val="1321"/>
    <w:qFormat/>
    <w:pPr>
      <w:ind w:right="400" w:firstLine="200"/>
      <w:jc w:val="right"/>
      <w:spacing w:line="570" w:lineRule="exact"/>
    </w:pPr>
    <w:rPr>
      <w:rFonts w:ascii="仿宋_GB2312" w:eastAsia="仿宋_GB2312"/>
      <w:sz w:val="32"/>
      <w:szCs w:val="20"/>
    </w:rPr>
  </w:style>
  <w:style w:type="character" w:styleId="1321">
    <w:name w:val="成文日期 Char"/>
    <w:next w:val="1321"/>
    <w:link w:val="1320"/>
    <w:rPr>
      <w:rFonts w:ascii="仿宋_GB2312" w:eastAsia="仿宋_GB2312"/>
      <w:sz w:val="32"/>
    </w:rPr>
  </w:style>
  <w:style w:type="paragraph" w:styleId="1322">
    <w:name w:val="修订"/>
    <w:next w:val="1322"/>
    <w:link w:val="1072"/>
    <w:uiPriority w:val="99"/>
    <w:unhideWhenUsed/>
    <w:rPr>
      <w:sz w:val="21"/>
      <w:szCs w:val="24"/>
      <w:lang w:val="en-US" w:eastAsia="zh-CN" w:bidi="ar-SA"/>
    </w:rPr>
  </w:style>
  <w:style w:type="character" w:styleId="1323">
    <w:name w:val="正文缩进 字符"/>
    <w:next w:val="1323"/>
    <w:link w:val="1072"/>
    <w:uiPriority w:val="99"/>
    <w:qFormat/>
    <w:rPr>
      <w:rFonts w:ascii="宋体" w:hAnsi="Times New Roman" w:eastAsia="宋体" w:cs="Times New Roman"/>
      <w:sz w:val="24"/>
    </w:rPr>
  </w:style>
  <w:style w:type="character" w:styleId="1324">
    <w:name w:val="正文文本 字符"/>
    <w:next w:val="1324"/>
    <w:link w:val="1072"/>
    <w:qFormat/>
    <w:rPr>
      <w:rFonts w:ascii="宋体" w:hAnsi="宋体"/>
      <w:sz w:val="24"/>
      <w:szCs w:val="24"/>
    </w:rPr>
  </w:style>
  <w:style w:type="paragraph" w:styleId="1325">
    <w:name w:val="纯文本1"/>
    <w:next w:val="1125"/>
    <w:link w:val="1072"/>
    <w:qFormat/>
    <w:pPr>
      <w:jc w:val="both"/>
      <w:widowControl w:val="off"/>
    </w:pPr>
    <w:rPr>
      <w:rFonts w:ascii="宋体" w:hAnsi="宋体"/>
      <w:sz w:val="26"/>
      <w:szCs w:val="24"/>
      <w:lang w:val="en-US" w:eastAsia="zh-CN" w:bidi="ar-SA"/>
    </w:rPr>
  </w:style>
  <w:style w:type="paragraph" w:styleId="1326">
    <w:name w:val="AONormal"/>
    <w:next w:val="1326"/>
    <w:link w:val="1072"/>
    <w:qFormat/>
    <w:pPr>
      <w:ind w:firstLine="440"/>
      <w:spacing w:line="400" w:lineRule="exact"/>
    </w:pPr>
    <w:rPr>
      <w:rFonts w:ascii="华文楷体" w:hAnsi="华文楷体" w:eastAsia="华文楷体" w:cs="华文楷体"/>
      <w:sz w:val="22"/>
      <w:szCs w:val="21"/>
      <w:lang w:val="en-US" w:eastAsia="zh-CN" w:bidi="ar-SA"/>
    </w:rPr>
  </w:style>
  <w:style w:type="paragraph" w:styleId="1327">
    <w:name w:val="正文首行缩进 21"/>
    <w:basedOn w:val="1328"/>
    <w:next w:val="1327"/>
    <w:link w:val="1072"/>
    <w:qFormat/>
    <w:pPr>
      <w:ind w:left="420" w:firstLine="420"/>
      <w:spacing w:after="120" w:line="480" w:lineRule="exact"/>
    </w:pPr>
    <w:rPr>
      <w:szCs w:val="20"/>
    </w:rPr>
  </w:style>
  <w:style w:type="paragraph" w:styleId="1328">
    <w:name w:val="正文文本缩进11"/>
    <w:basedOn w:val="1072"/>
    <w:next w:val="1072"/>
    <w:link w:val="1072"/>
    <w:qFormat/>
    <w:pPr>
      <w:ind w:firstLine="570"/>
      <w:spacing w:line="360" w:lineRule="auto"/>
    </w:pPr>
    <w:rPr>
      <w:sz w:val="24"/>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彭艳</cp:lastModifiedBy>
  <cp:revision>8</cp:revision>
  <dcterms:created xsi:type="dcterms:W3CDTF">2025-09-05T04:47:00Z</dcterms:created>
  <dcterms:modified xsi:type="dcterms:W3CDTF">2025-11-07T07:54:36Z</dcterms:modified>
</cp:coreProperties>
</file>